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02F8" w14:textId="7777777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</w:pPr>
      <w:r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  <w:t>Lectio Divina</w:t>
      </w:r>
    </w:p>
    <w:p w14:paraId="2C6DA2E3" w14:textId="510D13E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  <w:proofErr w:type="spellStart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fuq</w:t>
      </w:r>
      <w:proofErr w:type="spellEnd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 xml:space="preserve"> il-</w:t>
      </w:r>
      <w:proofErr w:type="spellStart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Vanġelu</w:t>
      </w:r>
      <w:proofErr w:type="spellEnd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 xml:space="preserve"> tal-</w:t>
      </w:r>
      <w:proofErr w:type="spellStart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Ħadd</w:t>
      </w:r>
      <w:proofErr w:type="spellEnd"/>
    </w:p>
    <w:p w14:paraId="050E9A30" w14:textId="7777777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</w:p>
    <w:p w14:paraId="1C3DCE00" w14:textId="7777777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Cs w:val="24"/>
          <w:lang w:val="it-IT"/>
          <w14:cntxtAlts/>
        </w:rPr>
      </w:pPr>
    </w:p>
    <w:p w14:paraId="0A149013" w14:textId="3A91C3F8" w:rsidR="00B31C48" w:rsidRPr="00B31C48" w:rsidRDefault="00DD4151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mt-MT"/>
          <w14:cntxtAlts/>
        </w:rPr>
      </w:pPr>
      <w:r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4</w:t>
      </w:r>
      <w:r w:rsidR="00B31C48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 xml:space="preserve"> Ħadd ta</w:t>
      </w:r>
      <w:r w:rsidR="00B56910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l</w:t>
      </w:r>
      <w:r w:rsidR="00B31C48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-</w:t>
      </w:r>
      <w:r w:rsidR="00B56910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Għid</w:t>
      </w:r>
    </w:p>
    <w:p w14:paraId="51E7D39C" w14:textId="467D2751" w:rsidR="00B31C48" w:rsidRP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it-IT"/>
          <w14:cntxtAlts/>
        </w:rPr>
      </w:pPr>
      <w:r w:rsidRPr="00B31C48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it-IT"/>
          <w14:cntxtAlts/>
        </w:rPr>
        <w:t xml:space="preserve">Sena </w:t>
      </w:r>
      <w:r w:rsidR="005C770B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it-IT"/>
          <w14:cntxtAlts/>
        </w:rPr>
        <w:t>Ċ</w:t>
      </w:r>
    </w:p>
    <w:p w14:paraId="45ADF60B" w14:textId="77777777" w:rsidR="00B31C48" w:rsidRP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24"/>
          <w:szCs w:val="24"/>
          <w:lang w:val="it-IT"/>
          <w14:cntxtAlts/>
        </w:rPr>
      </w:pPr>
    </w:p>
    <w:p w14:paraId="3DC4CCD4" w14:textId="49D2FB97" w:rsidR="00B31C48" w:rsidRDefault="007D4BF0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24"/>
          <w:szCs w:val="24"/>
          <w:lang w:val="mt-MT"/>
          <w14:cntxtAlts/>
        </w:rPr>
      </w:pPr>
      <w:r w:rsidRPr="007D4BF0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 xml:space="preserve">Ġw </w:t>
      </w:r>
      <w:r w:rsidR="00DD4151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10</w:t>
      </w: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:</w:t>
      </w:r>
      <w:r w:rsidR="00DD4151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27</w:t>
      </w:r>
      <w:r w:rsidRPr="007D4BF0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-</w:t>
      </w:r>
      <w:r w:rsidR="00DD4151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30</w:t>
      </w:r>
    </w:p>
    <w:p w14:paraId="1567D2B8" w14:textId="77777777" w:rsidR="00B31C48" w:rsidRDefault="00B31C48" w:rsidP="00B31C48">
      <w:pPr>
        <w:rPr>
          <w:rFonts w:cstheme="minorHAnsi"/>
          <w:b/>
          <w:bCs/>
          <w:sz w:val="24"/>
          <w:szCs w:val="24"/>
          <w:lang w:val="mt-MT"/>
        </w:rPr>
      </w:pPr>
    </w:p>
    <w:p w14:paraId="23403489" w14:textId="30014100" w:rsidR="004A7527" w:rsidRPr="00757237" w:rsidRDefault="004A7527" w:rsidP="004A7527">
      <w:pPr>
        <w:jc w:val="both"/>
        <w:rPr>
          <w:color w:val="000000" w:themeColor="text1"/>
          <w:sz w:val="24"/>
          <w:szCs w:val="24"/>
          <w:lang w:val="mt-MT"/>
        </w:rPr>
      </w:pPr>
      <w:r w:rsidRPr="00757237">
        <w:rPr>
          <w:color w:val="000000" w:themeColor="text1"/>
          <w:sz w:val="24"/>
          <w:szCs w:val="24"/>
          <w:lang w:val="mt-MT"/>
        </w:rPr>
        <w:t>Ġw 10,22 jintroduċi l-aħħar dibattitu mal-Lhud fil-ministeru pubbliku ta’ Ġesù. Dan id-dibattitu jseħħ fit-Tempju, matul il-festa tad-Dedikazzjoni (</w:t>
      </w:r>
      <w:r w:rsidRPr="00757237">
        <w:rPr>
          <w:i/>
          <w:iCs/>
          <w:color w:val="000000" w:themeColor="text1"/>
          <w:sz w:val="24"/>
          <w:szCs w:val="24"/>
          <w:lang w:val="mt-MT"/>
        </w:rPr>
        <w:t>Hanukkah</w:t>
      </w:r>
      <w:r w:rsidRPr="00757237">
        <w:rPr>
          <w:color w:val="000000" w:themeColor="text1"/>
          <w:sz w:val="24"/>
          <w:szCs w:val="24"/>
          <w:lang w:val="mt-MT"/>
        </w:rPr>
        <w:t xml:space="preserve">), li tiġi ċċelebrata fix-xitwa. Din hi t-tifkira tal-purifikazzjoni u konsagrazzjoni tal-altar tat-tempju ta’ Ġerusalemm tas-sena 164 Q.K. minn Ġuda l-Makkabew (1Mak 4,36-59; 2Mak 10,1-8) wara l-profanazzjoni ta’ Antijoku IV Epifani, li tlitt snin qabel kien għamel l-ewwel sagrifiċċju lil Zeus. Il-festa sseħħ fuq tmint ijiem u fost l-oħrajn f’din il-festa jinqara Eżek 34, l-oraklu kontra r-rgħajja ta’ Iżrael. Fil-festa kienu jinxtegħlu dwal quddiem kull dar u kandelabru kbir b’disa’ friegħi fit-tempju, bħala sinjal tal-libertà miksuba mill-ġdid. </w:t>
      </w:r>
    </w:p>
    <w:p w14:paraId="47A8A3AD" w14:textId="3B2773EB" w:rsidR="004A7527" w:rsidRPr="004A7527" w:rsidRDefault="004A7527" w:rsidP="004A7527">
      <w:pPr>
        <w:widowControl w:val="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mt-MT"/>
        </w:rPr>
      </w:pPr>
      <w:r w:rsidRPr="00757237">
        <w:rPr>
          <w:color w:val="000000" w:themeColor="text1"/>
          <w:sz w:val="24"/>
          <w:szCs w:val="24"/>
          <w:lang w:val="mt-MT"/>
        </w:rPr>
        <w:t xml:space="preserve">Minkejja l-perjodu differenti, għandna kontinwità tematika mad-diskors tar-ragħaj it-tajjeb (1-21). </w:t>
      </w:r>
      <w:r w:rsidRPr="00757237">
        <w:rPr>
          <w:rFonts w:ascii="Calibri" w:hAnsi="Calibri" w:cs="Calibri"/>
          <w:color w:val="000000" w:themeColor="text1"/>
          <w:sz w:val="24"/>
          <w:szCs w:val="24"/>
          <w:lang w:val="mt-MT"/>
        </w:rPr>
        <w:t>Fl-Ewwel Testment Iżrael spiss hu meqjus bħala l-merħla. F’Salm 100,3 naqraw: “aħna l-poplu tiegħu u n-nagħaġ tal-mergħa tiegħu”. Ta’ din il-merħla Alla hu r-ragħaj (Salm 23) għax Hu jeħles, jipproteġi, jassisti u jiġbor il-poplu tul l-istorja tiegħu. Daqstant ieħor huma rgħajja – f’isem ir-ragħaj – Mosé, ir-rejiet u l-kapijiet tal-poplu. Dawn tal-aħħar ifallu fl-irwol tagħhom għax “jirgħu lilhom infushom”</w:t>
      </w:r>
      <w:r w:rsidRPr="00757237">
        <w:rPr>
          <w:rFonts w:ascii="Calibri" w:hAnsi="Calibri" w:cs="Calibri"/>
          <w:i/>
          <w:iCs/>
          <w:color w:val="000000" w:themeColor="text1"/>
          <w:sz w:val="24"/>
          <w:szCs w:val="24"/>
          <w:lang w:val="mt-MT"/>
        </w:rPr>
        <w:t xml:space="preserve"> </w:t>
      </w:r>
      <w:r w:rsidRPr="00757237">
        <w:rPr>
          <w:rFonts w:ascii="Calibri" w:hAnsi="Calibri" w:cs="Calibri"/>
          <w:color w:val="000000" w:themeColor="text1"/>
          <w:sz w:val="24"/>
          <w:szCs w:val="24"/>
          <w:lang w:val="mt-MT"/>
        </w:rPr>
        <w:t>(Eżek 34,1), jisfruttaw lill-merħla, ma jeħdux ħsiebha u jabbanduwha, bil-konsegwenza li tisfa’ vittma tal-għadu u tixtered (Eżek 34,1-9). Għalhekk Alla stess jerġa’ jieħu għalih innifsu dan il-post u jwiegħed li jirgħa l-merħla tiegħu permezz tal-messija davidiku: “Jiena stess nirgħa n-nagħaġ tiegħi, u jiena nserraħhom, oraklu ta’ Sidi l-Mulej” (Eżek 34,15); “U nagħtikom rgħajja għal qalbi, li jirgħu bl-għerf u l-għaqal” (Ġer 3,15). “U nqiegħed fuqhom ragħaj wieħed, il-qaddej tiegħi David, u jieħu ħsiebhom u jirgħahom; hu jirgħahom u jkun ir-ragħaj tagħhom” (Eżek 34,23).</w:t>
      </w:r>
      <w:r w:rsidRPr="00757237">
        <w:rPr>
          <w:rFonts w:ascii="Calibri" w:hAnsi="Calibri" w:cs="Calibri"/>
          <w:b/>
          <w:bCs/>
          <w:color w:val="000000" w:themeColor="text1"/>
          <w:sz w:val="24"/>
          <w:szCs w:val="24"/>
          <w:lang w:val="mt-MT"/>
        </w:rPr>
        <w:t> </w:t>
      </w:r>
    </w:p>
    <w:p w14:paraId="197A24F5" w14:textId="7396CCD1" w:rsidR="004A7527" w:rsidRPr="00757237" w:rsidRDefault="004A7527" w:rsidP="004A7527">
      <w:pPr>
        <w:jc w:val="both"/>
        <w:rPr>
          <w:color w:val="000000" w:themeColor="text1"/>
          <w:sz w:val="24"/>
          <w:szCs w:val="24"/>
          <w:lang w:val="mt-MT"/>
        </w:rPr>
      </w:pPr>
      <w:r w:rsidRPr="00757237">
        <w:rPr>
          <w:color w:val="000000" w:themeColor="text1"/>
          <w:sz w:val="24"/>
          <w:szCs w:val="24"/>
          <w:lang w:val="mt-MT"/>
        </w:rPr>
        <w:t>Ġesù jinsab miexi fit-tempju taħt il-portiku ta’ Salamun (10,23), il-post fejn kienu jinġabru r-rabbini sabiex jiddiskutu diversi kwistjonijiet li kien ikollhom, primarjament ta’ natura legali. Il-kuntest huwa wieħed ta’ polemika jew proċess li qed isir lil Ġesù dwar l-identità tiegħu; Hu jiġi preżentat bħala Messija u Iben Alla. Huma infatti b’mod provokatorju jitolbuh: “Jekk inti l-Messija għidilna ċar u tond” (10,24). S’issa Ġesù dejjem evita li jiddikjara lilu nnifsu messija, aktarx frott ir-riskju ta’ interpretazzjonijiet nazzjonalistiċi u politiċi li kienu marbuta ma’ dan it-titlu. Fl-istess waqt kien wera li hu l-Iben ta’ Alla u l-Mibgħut tiegħu permezz ‘tal-għemejjel li jagħmel f’isem il-</w:t>
      </w:r>
      <w:r w:rsidRPr="00757237">
        <w:rPr>
          <w:color w:val="000000" w:themeColor="text1"/>
          <w:sz w:val="24"/>
          <w:szCs w:val="24"/>
          <w:lang w:val="mt-MT"/>
        </w:rPr>
        <w:lastRenderedPageBreak/>
        <w:t xml:space="preserve">Missier’ (10,25.32.37-38). Imma huma ma jemmnux ‘għax m’humiex min-nagħaġ tiegħU’ (10,26), anzi, “l-Lhud reġgħu qabdu l-ġebel biex iħaġġruh” (10,31). </w:t>
      </w:r>
    </w:p>
    <w:p w14:paraId="5EA19FD1" w14:textId="7B3C74F1" w:rsidR="004A7527" w:rsidRPr="00757237" w:rsidRDefault="004A7527" w:rsidP="004A7527">
      <w:pPr>
        <w:pStyle w:val="NoSpacing"/>
        <w:spacing w:after="160" w:line="259" w:lineRule="auto"/>
        <w:jc w:val="both"/>
        <w:rPr>
          <w:color w:val="000000" w:themeColor="text1"/>
          <w:sz w:val="24"/>
          <w:szCs w:val="24"/>
          <w:lang w:val="mt-MT"/>
        </w:rPr>
      </w:pPr>
      <w:r w:rsidRPr="00757237">
        <w:rPr>
          <w:color w:val="000000" w:themeColor="text1"/>
          <w:sz w:val="24"/>
          <w:szCs w:val="24"/>
          <w:lang w:val="mt-MT"/>
        </w:rPr>
        <w:t>In-nagħaġ ta’ Ġesù min-naħa l-oħra “jisimgħu leħni” (10,27; ara wkoll 10,3-5.8.16). It-tema tas-smiegħ fit-tradizzjoni Bibblika hija importanti ferm. Il-Lhudi ta’ kuljum jitlob is-Shema, li turi li r-relazzjoni bejn Alla u Iżrael hija mibnija primarjament fuq is-smiegħ, fuq il-fatt li dan Alla jitkellem, jidħol f’relazzjoni, tant li l-Iben stess hu l-Verb (1,1). Din il-kelma tant hi fundamentali li “</w:t>
      </w:r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val="mt-MT"/>
        </w:rPr>
        <w:t>j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</w:rPr>
        <w:t>ekk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</w:rPr>
        <w:t xml:space="preserve"> int 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</w:rPr>
        <w:t>tibqa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</w:rPr>
        <w:t xml:space="preserve">’ 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</w:rPr>
        <w:t>sieket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</w:rPr>
        <w:t>miegħi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</w:rPr>
        <w:t>,</w:t>
      </w:r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val="mt-MT"/>
        </w:rPr>
        <w:t xml:space="preserve"> 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inkun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nixbah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lil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min 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jinżel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fil-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ħofra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val="mt-MT" w:eastAsia="en-GB"/>
        </w:rPr>
        <w:t>”</w:t>
      </w:r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vertAlign w:val="superscript"/>
          <w:lang w:eastAsia="en-GB"/>
        </w:rPr>
        <w:t xml:space="preserve"> </w:t>
      </w:r>
      <w:r w:rsidRPr="00757237">
        <w:rPr>
          <w:rFonts w:ascii="Calibri" w:hAnsi="Calibri" w:cs="Calibri"/>
          <w:color w:val="000000" w:themeColor="text1"/>
          <w:sz w:val="24"/>
          <w:szCs w:val="24"/>
        </w:rPr>
        <w:t>(Salm 28,1)</w:t>
      </w:r>
      <w:r w:rsidRPr="00757237">
        <w:rPr>
          <w:rFonts w:ascii="Calibri" w:hAnsi="Calibri" w:cs="Calibri"/>
          <w:color w:val="000000" w:themeColor="text1"/>
          <w:sz w:val="24"/>
          <w:szCs w:val="24"/>
          <w:lang w:val="mt-MT"/>
        </w:rPr>
        <w:t>, u</w:t>
      </w:r>
      <w:r w:rsidRPr="00757237">
        <w:rPr>
          <w:color w:val="000000" w:themeColor="text1"/>
          <w:sz w:val="24"/>
          <w:szCs w:val="24"/>
          <w:lang w:val="mt-MT"/>
        </w:rPr>
        <w:t xml:space="preserve"> “il-bniedem mhux bil-ħobż biss jgħix, imma b’kull kelma li toħroġ minn fomm Alla” (Mt 4,4). Is-Salmista jitkarrab u jgħid: “Mhux li kontu llum tisimgħu leħnu! La twebbsux qalbkom bħal f’Meriba...” (Salm 95, 7-8). Il-poplu taħt is-Sinaj ‘semgħu l-ħoss tal-kliem, imma ma raw ebda xbieha, leħen biss’ (Dt 4,12). Dan il-leħen issa hu dak tal-Iben! Il-leħen, b’differenza mill-viżjoni, jimplika ħafna aktar intimità u relazzjoni. L-ispeċifiku tal-bniedem hija l-komunikazzjoni u dan iseħħ aktar permezz tal-kliem u tas-smiegħ milli permezz tal-ħars. In-nagħaġ huma għalhekk ‘dawk ta’ ġewwa’, dawk li Alla għoġbu jaqsam magħhom qalbu. </w:t>
      </w:r>
    </w:p>
    <w:p w14:paraId="48BE286D" w14:textId="595F4E0A" w:rsidR="004A7527" w:rsidRPr="004A7527" w:rsidRDefault="004A7527" w:rsidP="004A7527">
      <w:pPr>
        <w:pStyle w:val="NoSpacing"/>
        <w:spacing w:after="160" w:line="259" w:lineRule="auto"/>
        <w:jc w:val="both"/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757237">
        <w:rPr>
          <w:color w:val="000000" w:themeColor="text1"/>
          <w:sz w:val="24"/>
          <w:szCs w:val="24"/>
          <w:lang w:val="mt-MT"/>
        </w:rPr>
        <w:t xml:space="preserve">Is-smiegħ ovvjament jimplika tweġiba; jimplika li tilqa’ u tafda din il-kelma li qed tisma’, u taġixxi fuqha, tant li fil-lingwa Lhudija smiegħ u ubbidjenza huma l-istess kelma. Kemm hu importanti li wieħed jagħti ħin għal dan is-smiegħ </w:t>
      </w:r>
      <w:r w:rsidRPr="00757237">
        <w:rPr>
          <w:rFonts w:ascii="Calibri" w:hAnsi="Calibri" w:cs="Calibri"/>
          <w:color w:val="000000" w:themeColor="text1"/>
          <w:sz w:val="24"/>
          <w:szCs w:val="24"/>
          <w:lang w:val="mt-MT"/>
        </w:rPr>
        <w:t xml:space="preserve">biex jinħeles mill-inganni, biex jiltaqa’ mar-realtà ta’ ħajtu u dik ta’ Alla, biex jiġi ferut jekk hemm bżonn mill-Kelma, imma wkoll ikkunslat, megħjun, mogħti direzzjoni ġdida eċċ. Fil-mixja tal-fidi aħna spiss mifxula biex nifhmu u nżidu t-tagħrif, imma l-bżonn ċentrali hu d-djalogu, l-kuntatt, li nilqgħu din il-kelma li tidħol fil-fond. Infatti </w:t>
      </w:r>
      <w:r w:rsidRPr="00757237">
        <w:rPr>
          <w:rFonts w:ascii="Calibri" w:hAnsi="Calibri" w:cs="Calibri"/>
          <w:color w:val="000000" w:themeColor="text1"/>
          <w:spacing w:val="-7"/>
          <w:sz w:val="24"/>
          <w:szCs w:val="24"/>
          <w:bdr w:val="none" w:sz="0" w:space="0" w:color="auto" w:frame="1"/>
          <w:lang w:val="mt-MT" w:eastAsia="en-GB"/>
        </w:rPr>
        <w:t>“</w:t>
      </w:r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val="mt-MT" w:eastAsia="en-GB"/>
        </w:rPr>
        <w:t>i</w:t>
      </w:r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l-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kelma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ta’ 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Alla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hi 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ħajja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u 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qawwija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taqta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’ 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aktar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minn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xabla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b’żewġt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ixfar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; 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hija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tinfed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sa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tifred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minn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xulxin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ir-ruħ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u l-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ispirtu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u l-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ġogi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u l-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mudullun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; u 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tgħarbel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il-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ħsibijiet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u l-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fehmiet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tal-qalb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. 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Xejn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ma 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hemm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fil-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ħolqien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li hu 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moħbi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għalih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imma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kollox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hu 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miftuħ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għal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għajnejn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Alla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, li 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lilu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rridu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nagħtu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kont</w:t>
      </w:r>
      <w:proofErr w:type="spellEnd"/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val="mt-MT" w:eastAsia="en-GB"/>
        </w:rPr>
        <w:t>” (Lhud 4,12-13)</w:t>
      </w:r>
      <w:r w:rsidRPr="00757237">
        <w:rPr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.</w:t>
      </w:r>
    </w:p>
    <w:p w14:paraId="242502BD" w14:textId="3841C5A7" w:rsidR="004A7527" w:rsidRPr="00757237" w:rsidRDefault="004A7527" w:rsidP="004A7527">
      <w:pPr>
        <w:pStyle w:val="NoSpacing"/>
        <w:spacing w:after="160" w:line="259" w:lineRule="auto"/>
        <w:jc w:val="both"/>
        <w:rPr>
          <w:color w:val="000000" w:themeColor="text1"/>
          <w:sz w:val="24"/>
          <w:szCs w:val="24"/>
          <w:lang w:val="mt-MT"/>
        </w:rPr>
      </w:pPr>
      <w:r w:rsidRPr="00757237">
        <w:rPr>
          <w:color w:val="000000" w:themeColor="text1"/>
          <w:sz w:val="24"/>
          <w:szCs w:val="24"/>
          <w:lang w:val="mt-MT"/>
        </w:rPr>
        <w:t>Din l-insistenza fuq ir-relazzjoni tkompli permezz ta’ kwalità oħra tan-nagħaġ: huma ‘magħrufa’ minn Ġesù (10,27), verb li juri għaqda personali u profonda, daqs dik bejn il-Missier u l-Iben. Ftit versi qabel insibu: “</w:t>
      </w:r>
      <w:proofErr w:type="spellStart"/>
      <w:r w:rsidRPr="00757237">
        <w:rPr>
          <w:color w:val="000000" w:themeColor="text1"/>
          <w:sz w:val="24"/>
          <w:szCs w:val="24"/>
          <w:bdr w:val="none" w:sz="0" w:space="0" w:color="auto" w:frame="1"/>
          <w:lang w:eastAsia="en-GB"/>
        </w:rPr>
        <w:t>Jiena</w:t>
      </w:r>
      <w:proofErr w:type="spellEnd"/>
      <w:r w:rsidRPr="00757237">
        <w:rPr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r-</w:t>
      </w:r>
      <w:proofErr w:type="spellStart"/>
      <w:r w:rsidRPr="00757237">
        <w:rPr>
          <w:color w:val="000000" w:themeColor="text1"/>
          <w:sz w:val="24"/>
          <w:szCs w:val="24"/>
          <w:bdr w:val="none" w:sz="0" w:space="0" w:color="auto" w:frame="1"/>
          <w:lang w:eastAsia="en-GB"/>
        </w:rPr>
        <w:t>ragħaj</w:t>
      </w:r>
      <w:proofErr w:type="spellEnd"/>
      <w:r w:rsidRPr="00757237">
        <w:rPr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it-</w:t>
      </w:r>
      <w:proofErr w:type="spellStart"/>
      <w:r w:rsidRPr="00757237">
        <w:rPr>
          <w:color w:val="000000" w:themeColor="text1"/>
          <w:sz w:val="24"/>
          <w:szCs w:val="24"/>
          <w:bdr w:val="none" w:sz="0" w:space="0" w:color="auto" w:frame="1"/>
          <w:lang w:eastAsia="en-GB"/>
        </w:rPr>
        <w:t>tajjeb</w:t>
      </w:r>
      <w:proofErr w:type="spellEnd"/>
      <w:r w:rsidRPr="00757237">
        <w:rPr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; </w:t>
      </w:r>
      <w:proofErr w:type="spellStart"/>
      <w:r w:rsidRPr="00757237">
        <w:rPr>
          <w:color w:val="000000" w:themeColor="text1"/>
          <w:sz w:val="24"/>
          <w:szCs w:val="24"/>
          <w:bdr w:val="none" w:sz="0" w:space="0" w:color="auto" w:frame="1"/>
          <w:lang w:eastAsia="en-GB"/>
        </w:rPr>
        <w:t>jiena</w:t>
      </w:r>
      <w:proofErr w:type="spellEnd"/>
      <w:r w:rsidRPr="00757237">
        <w:rPr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color w:val="000000" w:themeColor="text1"/>
          <w:sz w:val="24"/>
          <w:szCs w:val="24"/>
          <w:bdr w:val="none" w:sz="0" w:space="0" w:color="auto" w:frame="1"/>
          <w:lang w:eastAsia="en-GB"/>
        </w:rPr>
        <w:t>nagħraf</w:t>
      </w:r>
      <w:proofErr w:type="spellEnd"/>
      <w:r w:rsidRPr="00757237">
        <w:rPr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in-</w:t>
      </w:r>
      <w:proofErr w:type="spellStart"/>
      <w:r w:rsidRPr="00757237">
        <w:rPr>
          <w:color w:val="000000" w:themeColor="text1"/>
          <w:sz w:val="24"/>
          <w:szCs w:val="24"/>
          <w:bdr w:val="none" w:sz="0" w:space="0" w:color="auto" w:frame="1"/>
          <w:lang w:eastAsia="en-GB"/>
        </w:rPr>
        <w:t>nagħaġ</w:t>
      </w:r>
      <w:proofErr w:type="spellEnd"/>
      <w:r w:rsidRPr="00757237">
        <w:rPr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color w:val="000000" w:themeColor="text1"/>
          <w:sz w:val="24"/>
          <w:szCs w:val="24"/>
          <w:bdr w:val="none" w:sz="0" w:space="0" w:color="auto" w:frame="1"/>
          <w:lang w:eastAsia="en-GB"/>
        </w:rPr>
        <w:t>tiegħi</w:t>
      </w:r>
      <w:proofErr w:type="spellEnd"/>
      <w:r w:rsidRPr="00757237">
        <w:rPr>
          <w:color w:val="000000" w:themeColor="text1"/>
          <w:sz w:val="24"/>
          <w:szCs w:val="24"/>
          <w:bdr w:val="none" w:sz="0" w:space="0" w:color="auto" w:frame="1"/>
          <w:lang w:eastAsia="en-GB"/>
        </w:rPr>
        <w:t>, u n-</w:t>
      </w:r>
      <w:proofErr w:type="spellStart"/>
      <w:r w:rsidRPr="00757237">
        <w:rPr>
          <w:color w:val="000000" w:themeColor="text1"/>
          <w:sz w:val="24"/>
          <w:szCs w:val="24"/>
          <w:bdr w:val="none" w:sz="0" w:space="0" w:color="auto" w:frame="1"/>
          <w:lang w:eastAsia="en-GB"/>
        </w:rPr>
        <w:t>nagħaġ</w:t>
      </w:r>
      <w:proofErr w:type="spellEnd"/>
      <w:r w:rsidRPr="00757237">
        <w:rPr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color w:val="000000" w:themeColor="text1"/>
          <w:sz w:val="24"/>
          <w:szCs w:val="24"/>
          <w:bdr w:val="none" w:sz="0" w:space="0" w:color="auto" w:frame="1"/>
          <w:lang w:eastAsia="en-GB"/>
        </w:rPr>
        <w:t>tiegħi</w:t>
      </w:r>
      <w:proofErr w:type="spellEnd"/>
      <w:r w:rsidRPr="00757237">
        <w:rPr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color w:val="000000" w:themeColor="text1"/>
          <w:sz w:val="24"/>
          <w:szCs w:val="24"/>
          <w:bdr w:val="none" w:sz="0" w:space="0" w:color="auto" w:frame="1"/>
          <w:lang w:eastAsia="en-GB"/>
        </w:rPr>
        <w:t>jagħrfu</w:t>
      </w:r>
      <w:proofErr w:type="spellEnd"/>
      <w:r w:rsidRPr="00757237">
        <w:rPr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color w:val="000000" w:themeColor="text1"/>
          <w:sz w:val="24"/>
          <w:szCs w:val="24"/>
          <w:bdr w:val="none" w:sz="0" w:space="0" w:color="auto" w:frame="1"/>
          <w:lang w:eastAsia="en-GB"/>
        </w:rPr>
        <w:t>lili</w:t>
      </w:r>
      <w:proofErr w:type="spellEnd"/>
      <w:r w:rsidRPr="00757237">
        <w:rPr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757237">
        <w:rPr>
          <w:color w:val="000000" w:themeColor="text1"/>
          <w:sz w:val="24"/>
          <w:szCs w:val="24"/>
          <w:bdr w:val="none" w:sz="0" w:space="0" w:color="auto" w:frame="1"/>
          <w:lang w:eastAsia="en-GB"/>
        </w:rPr>
        <w:t>bħalma</w:t>
      </w:r>
      <w:proofErr w:type="spellEnd"/>
      <w:r w:rsidRPr="00757237">
        <w:rPr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l-</w:t>
      </w:r>
      <w:proofErr w:type="spellStart"/>
      <w:r w:rsidRPr="00757237">
        <w:rPr>
          <w:color w:val="000000" w:themeColor="text1"/>
          <w:sz w:val="24"/>
          <w:szCs w:val="24"/>
          <w:bdr w:val="none" w:sz="0" w:space="0" w:color="auto" w:frame="1"/>
          <w:lang w:eastAsia="en-GB"/>
        </w:rPr>
        <w:t>Missier</w:t>
      </w:r>
      <w:proofErr w:type="spellEnd"/>
      <w:r w:rsidRPr="00757237">
        <w:rPr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color w:val="000000" w:themeColor="text1"/>
          <w:sz w:val="24"/>
          <w:szCs w:val="24"/>
          <w:bdr w:val="none" w:sz="0" w:space="0" w:color="auto" w:frame="1"/>
          <w:lang w:eastAsia="en-GB"/>
        </w:rPr>
        <w:t>jagħraf</w:t>
      </w:r>
      <w:proofErr w:type="spellEnd"/>
      <w:r w:rsidRPr="00757237">
        <w:rPr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color w:val="000000" w:themeColor="text1"/>
          <w:sz w:val="24"/>
          <w:szCs w:val="24"/>
          <w:bdr w:val="none" w:sz="0" w:space="0" w:color="auto" w:frame="1"/>
          <w:lang w:eastAsia="en-GB"/>
        </w:rPr>
        <w:t>lili</w:t>
      </w:r>
      <w:proofErr w:type="spellEnd"/>
      <w:r w:rsidRPr="00757237">
        <w:rPr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u </w:t>
      </w:r>
      <w:proofErr w:type="spellStart"/>
      <w:r w:rsidRPr="00757237">
        <w:rPr>
          <w:color w:val="000000" w:themeColor="text1"/>
          <w:sz w:val="24"/>
          <w:szCs w:val="24"/>
          <w:bdr w:val="none" w:sz="0" w:space="0" w:color="auto" w:frame="1"/>
          <w:lang w:eastAsia="en-GB"/>
        </w:rPr>
        <w:t>jiena</w:t>
      </w:r>
      <w:proofErr w:type="spellEnd"/>
      <w:r w:rsidRPr="00757237">
        <w:rPr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color w:val="000000" w:themeColor="text1"/>
          <w:sz w:val="24"/>
          <w:szCs w:val="24"/>
          <w:bdr w:val="none" w:sz="0" w:space="0" w:color="auto" w:frame="1"/>
          <w:lang w:eastAsia="en-GB"/>
        </w:rPr>
        <w:t>nagħraf</w:t>
      </w:r>
      <w:proofErr w:type="spellEnd"/>
      <w:r w:rsidRPr="00757237">
        <w:rPr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color w:val="000000" w:themeColor="text1"/>
          <w:sz w:val="24"/>
          <w:szCs w:val="24"/>
          <w:bdr w:val="none" w:sz="0" w:space="0" w:color="auto" w:frame="1"/>
          <w:lang w:eastAsia="en-GB"/>
        </w:rPr>
        <w:t>lill-Missier</w:t>
      </w:r>
      <w:proofErr w:type="spellEnd"/>
      <w:r w:rsidRPr="00757237">
        <w:rPr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; u </w:t>
      </w:r>
      <w:proofErr w:type="spellStart"/>
      <w:r w:rsidRPr="00757237">
        <w:rPr>
          <w:color w:val="000000" w:themeColor="text1"/>
          <w:sz w:val="24"/>
          <w:szCs w:val="24"/>
          <w:bdr w:val="none" w:sz="0" w:space="0" w:color="auto" w:frame="1"/>
          <w:lang w:eastAsia="en-GB"/>
        </w:rPr>
        <w:t>għan-nagħaġ</w:t>
      </w:r>
      <w:proofErr w:type="spellEnd"/>
      <w:r w:rsidRPr="00757237">
        <w:rPr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color w:val="000000" w:themeColor="text1"/>
          <w:sz w:val="24"/>
          <w:szCs w:val="24"/>
          <w:bdr w:val="none" w:sz="0" w:space="0" w:color="auto" w:frame="1"/>
          <w:lang w:eastAsia="en-GB"/>
        </w:rPr>
        <w:t>tiegħi</w:t>
      </w:r>
      <w:proofErr w:type="spellEnd"/>
      <w:r w:rsidRPr="00757237">
        <w:rPr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color w:val="000000" w:themeColor="text1"/>
          <w:sz w:val="24"/>
          <w:szCs w:val="24"/>
          <w:bdr w:val="none" w:sz="0" w:space="0" w:color="auto" w:frame="1"/>
          <w:lang w:eastAsia="en-GB"/>
        </w:rPr>
        <w:t>nagħti</w:t>
      </w:r>
      <w:proofErr w:type="spellEnd"/>
      <w:r w:rsidRPr="00757237">
        <w:rPr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color w:val="000000" w:themeColor="text1"/>
          <w:sz w:val="24"/>
          <w:szCs w:val="24"/>
          <w:bdr w:val="none" w:sz="0" w:space="0" w:color="auto" w:frame="1"/>
          <w:lang w:eastAsia="en-GB"/>
        </w:rPr>
        <w:t>ħajti</w:t>
      </w:r>
      <w:proofErr w:type="spellEnd"/>
      <w:r w:rsidRPr="00757237">
        <w:rPr>
          <w:color w:val="000000" w:themeColor="text1"/>
          <w:sz w:val="24"/>
          <w:szCs w:val="24"/>
          <w:bdr w:val="none" w:sz="0" w:space="0" w:color="auto" w:frame="1"/>
          <w:lang w:val="mt-MT" w:eastAsia="en-GB"/>
        </w:rPr>
        <w:t>” (10,14-15)</w:t>
      </w:r>
      <w:r w:rsidRPr="00757237">
        <w:rPr>
          <w:color w:val="000000" w:themeColor="text1"/>
          <w:sz w:val="24"/>
          <w:szCs w:val="24"/>
          <w:bdr w:val="none" w:sz="0" w:space="0" w:color="auto" w:frame="1"/>
          <w:lang w:eastAsia="en-GB"/>
        </w:rPr>
        <w:t>.</w:t>
      </w:r>
      <w:r w:rsidRPr="00757237">
        <w:rPr>
          <w:color w:val="000000" w:themeColor="text1"/>
          <w:sz w:val="24"/>
          <w:szCs w:val="24"/>
          <w:lang w:val="mt-MT"/>
        </w:rPr>
        <w:t xml:space="preserve"> Dan il-verb huwa l-verb tal-għaqda tal-miżżewġin, tal-għarfien profond u tal-qalb. Jidher għalhekk li l-leħen ta’ dan ir-ragħaj jidħol fil-qalb, imiss il-qalb. Dak li jgħid hu jinħass fil-profond bħala veru, tajjeb u sabiħ. In-nagħaġ iħossu tassew li xi ħadd jagħrafhom, jafhom – aktar ma jafu huma stess lilhom infushom – u għalhekk qed ikellem lilhom! Kemm hi għalhekk neċessarja l-memorja kontinwa </w:t>
      </w:r>
      <w:r w:rsidRPr="00757237">
        <w:rPr>
          <w:rFonts w:ascii="Calibri" w:hAnsi="Calibri" w:cs="Calibri"/>
          <w:color w:val="000000" w:themeColor="text1"/>
          <w:sz w:val="24"/>
          <w:szCs w:val="24"/>
          <w:lang w:val="mt-MT"/>
        </w:rPr>
        <w:t>ta’ meta ħassejniha magħrufa u miżjura minn Ġesù.</w:t>
      </w:r>
      <w:r w:rsidRPr="00757237">
        <w:rPr>
          <w:color w:val="000000" w:themeColor="text1"/>
          <w:sz w:val="24"/>
          <w:szCs w:val="24"/>
          <w:lang w:val="mt-MT"/>
        </w:rPr>
        <w:t xml:space="preserve"> Infatti ‘l-għarfien’ fl-Iskrittura mhux tant marbut mal-intellett daqskemm mal-esperjenza. </w:t>
      </w:r>
    </w:p>
    <w:p w14:paraId="44626DFC" w14:textId="6283A054" w:rsidR="004A7527" w:rsidRPr="00757237" w:rsidRDefault="004A7527" w:rsidP="004A7527">
      <w:pPr>
        <w:pStyle w:val="NoSpacing"/>
        <w:spacing w:after="160" w:line="259" w:lineRule="auto"/>
        <w:jc w:val="both"/>
        <w:rPr>
          <w:color w:val="000000" w:themeColor="text1"/>
          <w:sz w:val="24"/>
          <w:szCs w:val="24"/>
          <w:lang w:val="mt-MT"/>
        </w:rPr>
      </w:pPr>
      <w:r w:rsidRPr="00757237">
        <w:rPr>
          <w:color w:val="000000" w:themeColor="text1"/>
          <w:sz w:val="24"/>
          <w:szCs w:val="24"/>
          <w:lang w:val="mt-MT"/>
        </w:rPr>
        <w:t xml:space="preserve">U huwa frott dan is-smiegħ u dan l-għarfien li jaslu biex ‘jimxu warajH’ (10,27). B’dan il-mod imexxi Ġesù: bil-qawwa tal-Kelma li fl-intimità tiegħi nagħrafha bħala vera u turini jien min jien. Aħna nistgħu pastoralment nagħżlu toroq differenti: nipproponu regoli u sens ta’ appartenenza ġieli billi nnisslu ftit il-biża’ jew is-sens ta’ ħtija, billi nużaw theddid pulit eċċ, imma mingħajr ma’ seħħet il-laqgħa mal-Kelma tal-Ħajja, mar-Ragħaj is-Sabiħ. F’din is-silta hu ċar li ‘il-mixja’ ssegwi </w:t>
      </w:r>
      <w:r w:rsidRPr="00757237">
        <w:rPr>
          <w:color w:val="000000" w:themeColor="text1"/>
          <w:sz w:val="24"/>
          <w:szCs w:val="24"/>
          <w:lang w:val="mt-MT"/>
        </w:rPr>
        <w:lastRenderedPageBreak/>
        <w:t xml:space="preserve">‘l-għarfien u s-smiegħ’; ir-relazzjoni intima. Imbagħad kull azzjoni ta’ ħajti, u kull ġlieda spiritwali sseħħ biex jien inħares din ir-relazzjoni; għax ma nistax nitlifha. </w:t>
      </w:r>
    </w:p>
    <w:p w14:paraId="30EEAA39" w14:textId="6EAAA8C7" w:rsidR="004A7527" w:rsidRPr="004A7527" w:rsidRDefault="004A7527" w:rsidP="004A7527">
      <w:pPr>
        <w:pStyle w:val="NoSpacing"/>
        <w:spacing w:after="160" w:line="259" w:lineRule="auto"/>
        <w:jc w:val="both"/>
        <w:rPr>
          <w:color w:val="000000" w:themeColor="text1"/>
          <w:sz w:val="24"/>
          <w:szCs w:val="24"/>
          <w:lang w:val="mt-MT"/>
        </w:rPr>
      </w:pPr>
      <w:r w:rsidRPr="00757237">
        <w:rPr>
          <w:color w:val="000000" w:themeColor="text1"/>
          <w:sz w:val="24"/>
          <w:szCs w:val="24"/>
          <w:lang w:val="mt-MT"/>
        </w:rPr>
        <w:t xml:space="preserve">Fit-tieni qari ta’ dan il-Ħadd, minn Apok 7, dan kollu hu miġbur fl-immaġni paradossali tar-ragħaj preżentat bħala ‘l-ħaruf li qiegħed f’nofs it-tron u li jwassalhom ħdejn l-ilmijiet tal-għejjun tal-ħajja’. Ir-ragħaj it-tajjeb huwa l-ħaruf “wieqaf, bħal maqtul” (Apok 5,6), dak li jagħti ħajtu u għalhekk jagħti l-ħajja. </w:t>
      </w:r>
    </w:p>
    <w:p w14:paraId="0F210E86" w14:textId="2419DA92" w:rsidR="004A7527" w:rsidRPr="00757237" w:rsidRDefault="004A7527" w:rsidP="004A7527">
      <w:pPr>
        <w:pStyle w:val="NoSpacing"/>
        <w:spacing w:after="160" w:line="259" w:lineRule="auto"/>
        <w:jc w:val="both"/>
        <w:rPr>
          <w:rFonts w:ascii="Calibri" w:hAnsi="Calibri" w:cs="Calibri"/>
          <w:color w:val="000000" w:themeColor="text1"/>
          <w:sz w:val="24"/>
          <w:szCs w:val="24"/>
          <w:lang w:val="mt-MT"/>
        </w:rPr>
      </w:pPr>
      <w:r w:rsidRPr="00757237">
        <w:rPr>
          <w:rFonts w:ascii="Calibri" w:hAnsi="Calibri" w:cs="Calibri"/>
          <w:color w:val="000000" w:themeColor="text1"/>
          <w:sz w:val="24"/>
          <w:szCs w:val="24"/>
          <w:lang w:val="mt-MT"/>
        </w:rPr>
        <w:t>Infatti bħala don hu jagħtihom “il-ħajja ta’ dejjem” (10,28) (</w:t>
      </w:r>
      <w:r w:rsidRPr="00757237">
        <w:rPr>
          <w:rFonts w:ascii="Calibri" w:hAnsi="Calibri" w:cs="Calibri"/>
          <w:i/>
          <w:iCs/>
          <w:color w:val="000000" w:themeColor="text1"/>
          <w:sz w:val="24"/>
          <w:szCs w:val="24"/>
          <w:lang w:val="mt-MT"/>
        </w:rPr>
        <w:t>zoen aionion</w:t>
      </w:r>
      <w:r w:rsidRPr="00757237">
        <w:rPr>
          <w:rFonts w:ascii="Calibri" w:hAnsi="Calibri" w:cs="Calibri"/>
          <w:color w:val="000000" w:themeColor="text1"/>
          <w:sz w:val="24"/>
          <w:szCs w:val="24"/>
          <w:lang w:val="mt-MT"/>
        </w:rPr>
        <w:t>) sa mil-lum, għax hu ġie “biex ikollhom il-ħajja u l-ħajja bil-kotra” (10,10). Fil-progressjoni tas-silta hu ċar li dan id-don hu marbut mal-kelma ta’ Ġesù, mas-smiegħ tagħha u mal-fidi/relazzjoni li toħroġ minnha. Infatti hu Ġesù li għandu “</w:t>
      </w:r>
      <w:r w:rsidRPr="00757237">
        <w:rPr>
          <w:rFonts w:ascii="Calibri" w:hAnsi="Calibri" w:cs="Calibri"/>
          <w:i/>
          <w:iCs/>
          <w:color w:val="000000" w:themeColor="text1"/>
          <w:sz w:val="24"/>
          <w:szCs w:val="24"/>
          <w:lang w:val="mt-MT"/>
        </w:rPr>
        <w:t>l-kliem</w:t>
      </w:r>
      <w:r w:rsidRPr="00757237">
        <w:rPr>
          <w:rFonts w:ascii="Calibri" w:hAnsi="Calibri" w:cs="Calibri"/>
          <w:color w:val="000000" w:themeColor="text1"/>
          <w:sz w:val="24"/>
          <w:szCs w:val="24"/>
          <w:lang w:val="mt-MT"/>
        </w:rPr>
        <w:t xml:space="preserve"> tal-ħajja ta’ dejjem” (6.68) u “tassew tassew ngħidilkom li min jisma’ kelmti u jemmen f’min bagħatni għandu l-ħajja ta’ dejjem, u ma jsirx ħaqq minnu, imma għadda mill-mewt għall-ħajja” (5,24). Fil-kapitlu ta’ wara naqraw: “</w:t>
      </w:r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Din hi 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tabilħaqq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ir-rieda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ta’ 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Missieri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: li 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kull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min 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jara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lill-Iben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u 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jemmen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fih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ikollu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l-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ħajja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ta’ 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dejjem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u 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jiena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nqajmu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mill-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imwiet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fl-aħħar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jum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”</w:t>
      </w:r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val="mt-MT" w:eastAsia="en-GB"/>
        </w:rPr>
        <w:t xml:space="preserve"> (6,40</w:t>
      </w:r>
      <w:r w:rsidRPr="00757237">
        <w:rPr>
          <w:rFonts w:ascii="Calibri" w:hAnsi="Calibri" w:cs="Calibri"/>
          <w:color w:val="000000" w:themeColor="text1"/>
          <w:sz w:val="24"/>
          <w:szCs w:val="24"/>
          <w:lang w:val="mt-MT"/>
        </w:rPr>
        <w:t>) u fid-diskors tal-aħħar ċena: “</w:t>
      </w:r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val="mt-MT" w:eastAsia="en-GB"/>
        </w:rPr>
        <w:t>d</w:t>
      </w:r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in hi l-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ħajja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ta’ 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dejjem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, li </w:t>
      </w:r>
      <w:proofErr w:type="spellStart"/>
      <w:r w:rsidRPr="00757237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jagħrfu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lilek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Alla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waħdek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veru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, u 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lil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Ġesù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Kristu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, li inti 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bgħatt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val="mt-MT" w:eastAsia="en-GB"/>
        </w:rPr>
        <w:t>” (17,3</w:t>
      </w:r>
      <w:r w:rsidRPr="00757237">
        <w:rPr>
          <w:rFonts w:ascii="Calibri" w:hAnsi="Calibri" w:cs="Calibri"/>
          <w:color w:val="000000" w:themeColor="text1"/>
          <w:sz w:val="24"/>
          <w:szCs w:val="24"/>
          <w:lang w:val="mt-MT"/>
        </w:rPr>
        <w:t xml:space="preserve">). Dan kollu juri li l-ħajja ġdida, bħal kull ħajja, titwieled mir-relazzjoni, din id-darba ma’ Ġesù, għalhekk titwieled ‘minn fuq’ jew ‘mill-ġdid’ (3,3). L-allat pagani ma ridux jagħtu din il-ħajja. Kienu għajjura għall-ħajja ‘divina’ tagħhom. Hekk juru l-miti tal-antikità. Għal kuntrarju, l-Alla tal-Iskrittura jdaħħal f’din il-ħajja tiegħu – f’din ir-relazzjoni – lilna; mifxul biex jagħtihilna! </w:t>
      </w:r>
    </w:p>
    <w:p w14:paraId="0EF26AD3" w14:textId="0EE2EBAF" w:rsidR="004A7527" w:rsidRPr="00757237" w:rsidRDefault="004A7527" w:rsidP="004A7527">
      <w:pPr>
        <w:pStyle w:val="NoSpacing"/>
        <w:spacing w:after="160" w:line="259" w:lineRule="auto"/>
        <w:jc w:val="both"/>
        <w:rPr>
          <w:rFonts w:ascii="Calibri" w:hAnsi="Calibri" w:cs="Calibri"/>
          <w:color w:val="000000" w:themeColor="text1"/>
          <w:sz w:val="24"/>
          <w:szCs w:val="24"/>
          <w:lang w:val="mt-MT"/>
        </w:rPr>
      </w:pPr>
      <w:r w:rsidRPr="00757237">
        <w:rPr>
          <w:rFonts w:ascii="Calibri" w:hAnsi="Calibri" w:cs="Calibri"/>
          <w:color w:val="000000" w:themeColor="text1"/>
          <w:sz w:val="24"/>
          <w:szCs w:val="24"/>
          <w:lang w:val="mt-MT"/>
        </w:rPr>
        <w:t>U b’konsegwenza “ma jintilfu qatt u minn idejja ma jaħtafhomli ħadd”. Hekk nerġgħu naqraw f’17,12: “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Kemm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domt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magħhom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jiena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ħaristhom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fl-isem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tiegħek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, l-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isem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li 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tajtni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. U 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jiena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ħadt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ħsiebhom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, u 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ħadd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minnhom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ma 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ntilef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ħlief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bin it-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telfien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biex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isseħħ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l-</w:t>
      </w:r>
      <w:proofErr w:type="spellStart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eastAsia="en-GB"/>
        </w:rPr>
        <w:t>Iskrittura</w:t>
      </w:r>
      <w:proofErr w:type="spellEnd"/>
      <w:r w:rsidRPr="00757237"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lang w:val="mt-MT" w:eastAsia="en-GB"/>
        </w:rPr>
        <w:t>”</w:t>
      </w:r>
      <w:r w:rsidRPr="00757237">
        <w:rPr>
          <w:rFonts w:ascii="Calibri" w:hAnsi="Calibri" w:cs="Calibri"/>
          <w:color w:val="000000" w:themeColor="text1"/>
          <w:sz w:val="24"/>
          <w:szCs w:val="24"/>
          <w:lang w:val="mt-MT"/>
        </w:rPr>
        <w:t>. Aħna, xi ftit jew wisq, kontinwament inħossu li l-ħajja tagħna hi taħt theddida, f’periklu; l-ansja hi dejjem kumpann tal-qalb tagħna. Il-biża’ kontinwu tal-bniedem hu li jara ħajtu tintilef. Infatti diffiċli nħobbu għax fl-imħabba wieħed iħossu li qed ‘imut/jintilef’. Madanakollu, min għandu b’don il-ħajja ta’ dejjem jista’ jħobb; min hu ċert li hu f’idejn l-Iben, jista’ ‘jitlef ħajtu biex isibha mill-ġdid’ (Mt 16,25). U din iċ-ċertezza tiġi mill-fatt li hu ‘jagħti ħajtu għan-nagħaġ tiegħu’ (10,11.15.17-18): “b'dan naslu biex nagħrfu x'inhi l-imħabba: li Ġesù Kristu ta ħajtu għalina. Aħna wkoll mela għandna nagħtu ħajjitna għall-aħwa” (1Ġw 3,16). Ara wkoll Rum 8,35-39: “Min se jifridna mill-imħabba ta’ Kristu...”</w:t>
      </w:r>
    </w:p>
    <w:p w14:paraId="04F8E8AA" w14:textId="77777777" w:rsidR="004A7527" w:rsidRPr="00757237" w:rsidRDefault="004A7527" w:rsidP="004A7527">
      <w:pPr>
        <w:pStyle w:val="NoSpacing"/>
        <w:spacing w:after="160" w:line="259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vertAlign w:val="superscript"/>
          <w:lang w:eastAsia="en-GB"/>
        </w:rPr>
      </w:pPr>
      <w:r w:rsidRPr="00757237">
        <w:rPr>
          <w:rFonts w:ascii="Calibri" w:hAnsi="Calibri" w:cs="Calibri"/>
          <w:color w:val="000000" w:themeColor="text1"/>
          <w:sz w:val="24"/>
          <w:szCs w:val="24"/>
          <w:lang w:val="mt-MT"/>
        </w:rPr>
        <w:t xml:space="preserve">Iċ-ċertezza ta’ dan kollu hija wkoll l-għaqda sħiħa li teżisti bejn il-Missier u l-Iben, tant li dak li hu tal-Missier hu tal-Iben u dak li jagħmel l-Iben jagħmlu l-Missier: “Missieri li tahomli, hu akbar minn kulħadd, u ħadd ma jista’ jaħtafhom minn id il-Missier” (10,29). Varjant ieħor, fost oħrajn, ta’ dan il-vers jgħid: “Dak li tani Missieri hu akbar minn kollox”. F’kull każ l-attenzjoni hi fuq il-prezzjożita tal-merħla għall-Missier u ċ-ċertezza li hi tista’ tgawdi għax tinsab f’idejh, jew f’idejhom. Infatti “Jien u l-Missier aħna ħaġa waħda” jew “aħna wieħed”. </w:t>
      </w:r>
    </w:p>
    <w:p w14:paraId="5C027B3A" w14:textId="77777777" w:rsidR="004A7527" w:rsidRPr="00757237" w:rsidRDefault="004A7527" w:rsidP="004A7527">
      <w:pPr>
        <w:pStyle w:val="NoSpacing"/>
        <w:spacing w:after="160" w:line="259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306EC224" w14:textId="3058B8EE" w:rsidR="00D2529C" w:rsidRPr="004A7527" w:rsidRDefault="004A7527" w:rsidP="004A7527">
      <w:pPr>
        <w:pStyle w:val="NoSpacing"/>
        <w:spacing w:after="160" w:line="259" w:lineRule="auto"/>
        <w:jc w:val="both"/>
        <w:rPr>
          <w:rFonts w:ascii="Calibri" w:hAnsi="Calibri" w:cs="Calibri"/>
          <w:color w:val="000000" w:themeColor="text1"/>
          <w:sz w:val="24"/>
          <w:szCs w:val="24"/>
          <w:lang w:val="mt-MT"/>
        </w:rPr>
      </w:pPr>
      <w:r w:rsidRPr="00757237">
        <w:rPr>
          <w:rFonts w:ascii="Calibri" w:hAnsi="Calibri" w:cs="Calibri"/>
          <w:color w:val="000000" w:themeColor="text1"/>
          <w:sz w:val="24"/>
          <w:szCs w:val="24"/>
          <w:lang w:val="mt-MT"/>
        </w:rPr>
        <w:t>Xi siltiet għat-talb personali: Salm 95; Ġw 1,35-49; Ġw 3,1-21; Ġw 21,15-19.</w:t>
      </w:r>
    </w:p>
    <w:sectPr w:rsidR="00D2529C" w:rsidRPr="004A7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ECEB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0931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EE"/>
    <w:rsid w:val="00014750"/>
    <w:rsid w:val="0006182C"/>
    <w:rsid w:val="00076EC6"/>
    <w:rsid w:val="0008376A"/>
    <w:rsid w:val="000B2D45"/>
    <w:rsid w:val="001041EE"/>
    <w:rsid w:val="0012668F"/>
    <w:rsid w:val="001628FB"/>
    <w:rsid w:val="00176494"/>
    <w:rsid w:val="00190F0B"/>
    <w:rsid w:val="001A29B7"/>
    <w:rsid w:val="001F4DB6"/>
    <w:rsid w:val="00211567"/>
    <w:rsid w:val="00215FAD"/>
    <w:rsid w:val="00237FE7"/>
    <w:rsid w:val="002C1409"/>
    <w:rsid w:val="002F2E0A"/>
    <w:rsid w:val="00331523"/>
    <w:rsid w:val="003C14B1"/>
    <w:rsid w:val="00405E41"/>
    <w:rsid w:val="00407EAA"/>
    <w:rsid w:val="00420C8C"/>
    <w:rsid w:val="004A7527"/>
    <w:rsid w:val="004C50C2"/>
    <w:rsid w:val="004D276D"/>
    <w:rsid w:val="004F5699"/>
    <w:rsid w:val="004F7B67"/>
    <w:rsid w:val="0056287E"/>
    <w:rsid w:val="005B5BAA"/>
    <w:rsid w:val="005B71CF"/>
    <w:rsid w:val="005C770B"/>
    <w:rsid w:val="005F4DF2"/>
    <w:rsid w:val="00635C12"/>
    <w:rsid w:val="0065422E"/>
    <w:rsid w:val="006A5661"/>
    <w:rsid w:val="006C791B"/>
    <w:rsid w:val="0071320F"/>
    <w:rsid w:val="00724B7D"/>
    <w:rsid w:val="0076579E"/>
    <w:rsid w:val="007971FD"/>
    <w:rsid w:val="007D4BF0"/>
    <w:rsid w:val="007E1FB0"/>
    <w:rsid w:val="00835412"/>
    <w:rsid w:val="00844577"/>
    <w:rsid w:val="00877A71"/>
    <w:rsid w:val="008B250F"/>
    <w:rsid w:val="0093290A"/>
    <w:rsid w:val="0095314C"/>
    <w:rsid w:val="00990EC4"/>
    <w:rsid w:val="009B3ED6"/>
    <w:rsid w:val="009C72B5"/>
    <w:rsid w:val="00A401F0"/>
    <w:rsid w:val="00A725E0"/>
    <w:rsid w:val="00A74D87"/>
    <w:rsid w:val="00AF6F04"/>
    <w:rsid w:val="00B0513E"/>
    <w:rsid w:val="00B31C48"/>
    <w:rsid w:val="00B56910"/>
    <w:rsid w:val="00C16030"/>
    <w:rsid w:val="00C415E6"/>
    <w:rsid w:val="00CB1D88"/>
    <w:rsid w:val="00CC21BC"/>
    <w:rsid w:val="00CD2BF8"/>
    <w:rsid w:val="00D13B90"/>
    <w:rsid w:val="00D2529C"/>
    <w:rsid w:val="00D64A97"/>
    <w:rsid w:val="00DC104F"/>
    <w:rsid w:val="00DD4151"/>
    <w:rsid w:val="00E67C7A"/>
    <w:rsid w:val="00E7113B"/>
    <w:rsid w:val="00E86E0C"/>
    <w:rsid w:val="00EB005F"/>
    <w:rsid w:val="00EB13B4"/>
    <w:rsid w:val="00EC4261"/>
    <w:rsid w:val="00F2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530D"/>
  <w15:chartTrackingRefBased/>
  <w15:docId w15:val="{A6649757-4D02-4049-A9C4-974C8A4F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aj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290A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415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15E6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l-greek">
    <w:name w:val="l-greek"/>
    <w:basedOn w:val="DefaultParagraphFont"/>
    <w:rsid w:val="00C415E6"/>
  </w:style>
  <w:style w:type="character" w:customStyle="1" w:styleId="Heading1Char">
    <w:name w:val="Heading 1 Char"/>
    <w:basedOn w:val="DefaultParagraphFont"/>
    <w:link w:val="Heading1"/>
    <w:uiPriority w:val="9"/>
    <w:rsid w:val="0093290A"/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character" w:customStyle="1" w:styleId="unih">
    <w:name w:val="unih"/>
    <w:basedOn w:val="DefaultParagraphFont"/>
    <w:rsid w:val="0093290A"/>
  </w:style>
  <w:style w:type="character" w:styleId="Hyperlink">
    <w:name w:val="Hyperlink"/>
    <w:basedOn w:val="DefaultParagraphFont"/>
    <w:uiPriority w:val="99"/>
    <w:semiHidden/>
    <w:unhideWhenUsed/>
    <w:rsid w:val="0076579E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CC21BC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EB13B4"/>
    <w:pPr>
      <w:spacing w:after="0" w:line="240" w:lineRule="auto"/>
    </w:pPr>
    <w:rPr>
      <w:rFonts w:cstheme="minorBidi"/>
      <w:lang w:val="en-GB"/>
    </w:rPr>
  </w:style>
  <w:style w:type="character" w:customStyle="1" w:styleId="FontStyle31">
    <w:name w:val="Font Style31"/>
    <w:basedOn w:val="DefaultParagraphFont"/>
    <w:uiPriority w:val="99"/>
    <w:rsid w:val="00F2566A"/>
    <w:rPr>
      <w:rFonts w:ascii="Book Antiqua" w:hAnsi="Book Antiqua" w:cs="Book Antiqua" w:hint="default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176494"/>
    <w:rPr>
      <w:rFonts w:ascii="Book Antiqua" w:hAnsi="Book Antiqua" w:cs="Book Antiqua"/>
      <w:i/>
      <w:iCs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E2CF1-3FCC-479A-9FBA-4849A969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farrugia</dc:creator>
  <cp:keywords/>
  <dc:description/>
  <cp:lastModifiedBy>Matthew Bajada</cp:lastModifiedBy>
  <cp:revision>48</cp:revision>
  <dcterms:created xsi:type="dcterms:W3CDTF">2021-02-16T07:26:00Z</dcterms:created>
  <dcterms:modified xsi:type="dcterms:W3CDTF">2022-05-04T09:12:00Z</dcterms:modified>
</cp:coreProperties>
</file>