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4C" w:rsidRPr="00794A01" w:rsidRDefault="00FA434C" w:rsidP="00FA434C">
      <w:pPr>
        <w:jc w:val="center"/>
        <w:rPr>
          <w:rFonts w:asciiTheme="majorHAnsi" w:hAnsiTheme="majorHAnsi"/>
          <w:b/>
          <w:sz w:val="48"/>
        </w:rPr>
      </w:pPr>
      <w:r w:rsidRPr="00794A01">
        <w:rPr>
          <w:rFonts w:asciiTheme="majorHAnsi" w:hAnsiTheme="majorHAnsi"/>
          <w:b/>
          <w:sz w:val="48"/>
        </w:rPr>
        <w:t>LECTIO DIVINA</w:t>
      </w:r>
    </w:p>
    <w:p w:rsidR="00FA434C" w:rsidRDefault="00FA434C" w:rsidP="00FA434C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It-Tnejn u Tletin</w:t>
      </w:r>
      <w:r w:rsidRPr="005B3BCF">
        <w:rPr>
          <w:rFonts w:asciiTheme="majorHAnsi" w:hAnsiTheme="majorHAnsi"/>
          <w:b/>
          <w:sz w:val="44"/>
          <w:szCs w:val="44"/>
        </w:rPr>
        <w:t xml:space="preserve"> Ħadd </w:t>
      </w:r>
    </w:p>
    <w:p w:rsidR="00FA434C" w:rsidRPr="005B3BCF" w:rsidRDefault="00FA434C" w:rsidP="00FA434C">
      <w:pPr>
        <w:jc w:val="center"/>
        <w:rPr>
          <w:rFonts w:asciiTheme="majorHAnsi" w:hAnsiTheme="majorHAnsi"/>
          <w:b/>
          <w:sz w:val="44"/>
          <w:szCs w:val="44"/>
        </w:rPr>
      </w:pPr>
      <w:r w:rsidRPr="005B3BCF">
        <w:rPr>
          <w:rFonts w:asciiTheme="majorHAnsi" w:hAnsiTheme="majorHAnsi"/>
          <w:b/>
          <w:sz w:val="44"/>
          <w:szCs w:val="44"/>
        </w:rPr>
        <w:t>Matul is-Sena (A)</w:t>
      </w:r>
    </w:p>
    <w:p w:rsidR="00FA434C" w:rsidRPr="00794A01" w:rsidRDefault="00FA434C" w:rsidP="00FA434C">
      <w:pPr>
        <w:jc w:val="center"/>
        <w:rPr>
          <w:rFonts w:asciiTheme="majorHAnsi" w:hAnsiTheme="majorHAnsi"/>
        </w:rPr>
      </w:pPr>
    </w:p>
    <w:p w:rsidR="00FA434C" w:rsidRPr="00794A01" w:rsidRDefault="00FA434C" w:rsidP="00FA434C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Mt</w:t>
      </w:r>
      <w:r w:rsidRPr="00794A01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25,1-13</w:t>
      </w:r>
    </w:p>
    <w:p w:rsidR="0007064A" w:rsidRDefault="0007064A"/>
    <w:p w:rsidR="00FA434C" w:rsidRDefault="00FA434C" w:rsidP="00FA434C">
      <w:pPr>
        <w:spacing w:after="0" w:line="216" w:lineRule="auto"/>
        <w:jc w:val="center"/>
        <w:rPr>
          <w:rFonts w:asciiTheme="majorHAnsi" w:hAnsiTheme="majorHAnsi"/>
          <w:b/>
          <w:sz w:val="30"/>
          <w:szCs w:val="30"/>
        </w:rPr>
      </w:pPr>
      <w:r w:rsidRPr="00AC3599">
        <w:rPr>
          <w:rFonts w:asciiTheme="majorHAnsi" w:hAnsiTheme="majorHAnsi"/>
          <w:b/>
          <w:sz w:val="30"/>
          <w:szCs w:val="30"/>
        </w:rPr>
        <w:t xml:space="preserve">f’nofs ta’ lejl instama’ min jgħajjat, </w:t>
      </w:r>
    </w:p>
    <w:p w:rsidR="00FA434C" w:rsidRPr="00AC3599" w:rsidRDefault="00FA434C" w:rsidP="00FA434C">
      <w:pPr>
        <w:spacing w:after="0" w:line="216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“</w:t>
      </w:r>
      <w:r w:rsidRPr="00AC3599">
        <w:rPr>
          <w:rFonts w:asciiTheme="majorHAnsi" w:hAnsiTheme="majorHAnsi"/>
          <w:b/>
          <w:sz w:val="30"/>
          <w:szCs w:val="30"/>
        </w:rPr>
        <w:t>Ara l-għarus! Oħorġu ilqgħuh!</w:t>
      </w:r>
      <w:r>
        <w:rPr>
          <w:rFonts w:asciiTheme="majorHAnsi" w:hAnsiTheme="majorHAnsi"/>
          <w:b/>
          <w:sz w:val="30"/>
          <w:szCs w:val="30"/>
        </w:rPr>
        <w:t>”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“Is-Saltna tas-Smewwiet ixebbhuha ma’ għaxar xebbiet li ħarġu bl-imsiebaħ tagħhom biex jilqgħu l-għarus.” (v. 1)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Is-Saltna tas-Smewwiet hija l-għan aħħari tal-pellegrin (il-bniedem). Il-Kristjan wara li ħa “d-dawl ta’ Kristu” hu msejjaħ biex hu stess ikun “id-dawl tad-dinja” (u l-melħ tal-art); dan iseħħ mhux biss b’li jgħid imma b’mod speċjali bl-għemejjel tajba fil-konfront ta’ Alla u ta’ ħutu (ara Dewt 6,4s, Mt 22,37s; 5,14-16; 1 Tess 5,5; Ġw 8,12). Id-dawl, minnu nnifsu hu </w:t>
      </w:r>
      <w:r>
        <w:rPr>
          <w:rFonts w:asciiTheme="majorHAnsi" w:hAnsiTheme="majorHAnsi"/>
          <w:i/>
          <w:sz w:val="24"/>
          <w:szCs w:val="24"/>
        </w:rPr>
        <w:t>xiehda</w:t>
      </w:r>
      <w:r>
        <w:rPr>
          <w:rFonts w:asciiTheme="majorHAnsi" w:hAnsiTheme="majorHAnsi"/>
          <w:sz w:val="24"/>
          <w:szCs w:val="24"/>
        </w:rPr>
        <w:t xml:space="preserve"> għall-oħrajn: “ma jixgħelux l-musbieħ u jqegħduh taħt is-siegħ, iżda fuq l-imnara, u hekk idawwal... Hekk għandu jiddi dawl tagħkom quddiem il-bnedmin” (5,15-16).</w:t>
      </w:r>
    </w:p>
    <w:p w:rsidR="00FA434C" w:rsidRPr="00A37BEA" w:rsidRDefault="00FA434C" w:rsidP="00FA434C">
      <w:pPr>
        <w:spacing w:after="0" w:line="216" w:lineRule="auto"/>
        <w:jc w:val="both"/>
        <w:rPr>
          <w:rFonts w:asciiTheme="majorHAnsi" w:hAnsiTheme="majorHAnsi"/>
          <w:sz w:val="6"/>
          <w:szCs w:val="6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“ħarġu” - Il-ħajja tal-bniedem hija kollha kemm hi ħruġ minn sitwazzjoni/kundizzjoni għall-oħra (ara Kol 3,3). In-nisrani jrid kontinwament jiftakar u jfakkar (= xiehda) fir-realtà li hu jinsab pellegrin fid-dinja; bix-xewqa li jasal x’imien ieħor; li jilħaq l-iskop tiegħu i.e. li “joħroġ” minn din il-ħajja u jasal għand il-Missier – bidla kwalitattiva.</w:t>
      </w:r>
    </w:p>
    <w:p w:rsidR="00FA434C" w:rsidRPr="00F17CFB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Ma’ kull bidla hemm marbut magħha nċertezza (“kif qiegħed taf, kif se tkun ma tafx”, u “t’idek f’idek”), allura fil-bniedem dejjem hemm it-tendenza li jorbot qalbu ma’ li għandu u ma’ fejn jinsab, bir-riżultat li jinsa fejn irid jasal; ma jibqax jixtieq jasal aktar, fejn qabel xtaq jasal (jitlef l-iskop).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“il-boloh ħadu l-imsiebaħ imma ma ħadux żejt magħhom, waqt li l-għaqlin ħadu mhux biss l-imsiebaħ iżda wkoll iż-żejt fil-kwies.” (vv. 3-4)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Il-“bluha” tinsab fin-nuqqas ta’ preparazzjoni għal dak li l-quddiem żgur sa tiġi bżonn; dak li hu ovvju (iż-żejt għall-imsiebaħ, l-imħabba, l-għotja, iċ-ċaħda,...). 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“Iż-żejt” hu l-Ispirtu s-Santu li jagħti l-ħajja permezz tas-sħana tal-imħabba (ara Ef 5,14; 1 Ġw 3,14, Lhud 5,15; 2 Kor 4,6; 3,18).</w:t>
      </w:r>
    </w:p>
    <w:p w:rsidR="00FA434C" w:rsidRPr="00252439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“L-għaqal” jikkonsisti f’li wieħed iħares ’il quddiem u jpoġġi (jimmaġina) lilu nnifsu fis-sitwazzjoni futura (pre-viżjoni).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“L-għarus iddawwar ma ġie, u għalhekk ilkoll ħadhom in-ngħas u raqdu.” (v. 5)</w:t>
      </w:r>
    </w:p>
    <w:p w:rsidR="00FA434C" w:rsidRPr="000F04B4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 w:rsidRPr="00464F50">
        <w:rPr>
          <w:rFonts w:ascii="Palatino Linotype" w:hAnsi="Palatino Linotype"/>
        </w:rPr>
        <w:t>χρονίζω</w:t>
      </w:r>
      <w:r w:rsidRPr="000F04B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(=iddawwar) </w:t>
      </w:r>
      <w:r w:rsidRPr="000F04B4">
        <w:rPr>
          <w:rFonts w:asciiTheme="majorHAnsi" w:hAnsiTheme="majorHAnsi"/>
          <w:sz w:val="24"/>
          <w:szCs w:val="24"/>
        </w:rPr>
        <w:t>– Kien normali li jittardja minħabba li eżatt qabel it-tieġ ried isir il-ftehim bejn l-għarus u missier l-għarusa fid-dar tagħha stess. Wara dan l-għarus kien ikun ir</w:t>
      </w:r>
      <w:r>
        <w:rPr>
          <w:rFonts w:asciiTheme="majorHAnsi" w:hAnsiTheme="majorHAnsi"/>
          <w:sz w:val="24"/>
          <w:szCs w:val="24"/>
        </w:rPr>
        <w:t>i</w:t>
      </w:r>
      <w:r w:rsidRPr="000F04B4">
        <w:rPr>
          <w:rFonts w:asciiTheme="majorHAnsi" w:hAnsiTheme="majorHAnsi"/>
          <w:sz w:val="24"/>
          <w:szCs w:val="24"/>
        </w:rPr>
        <w:t>d jitlaq lejn daru biex hemmhekk</w:t>
      </w:r>
      <w:r>
        <w:rPr>
          <w:rFonts w:asciiTheme="majorHAnsi" w:hAnsiTheme="majorHAnsi"/>
          <w:sz w:val="24"/>
          <w:szCs w:val="24"/>
        </w:rPr>
        <w:t>, malli jasal,</w:t>
      </w:r>
      <w:r w:rsidRPr="000F04B4">
        <w:rPr>
          <w:rFonts w:asciiTheme="majorHAnsi" w:hAnsiTheme="majorHAnsi"/>
          <w:sz w:val="24"/>
          <w:szCs w:val="24"/>
        </w:rPr>
        <w:t xml:space="preserve"> tibda l-festa tat-tieġ.</w:t>
      </w:r>
    </w:p>
    <w:p w:rsidR="00FA434C" w:rsidRPr="00A37BEA" w:rsidRDefault="00FA434C" w:rsidP="00FA434C">
      <w:pPr>
        <w:spacing w:after="0" w:line="216" w:lineRule="auto"/>
        <w:jc w:val="both"/>
        <w:rPr>
          <w:rFonts w:asciiTheme="majorHAnsi" w:hAnsiTheme="majorHAnsi"/>
          <w:sz w:val="10"/>
          <w:szCs w:val="10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 w:rsidRPr="000F04B4">
        <w:rPr>
          <w:rFonts w:asciiTheme="majorHAnsi" w:hAnsiTheme="majorHAnsi"/>
          <w:sz w:val="24"/>
          <w:szCs w:val="24"/>
        </w:rPr>
        <w:t xml:space="preserve">Alla jidher assenti, għax ma jinħasx. Imma hu (diġà) preżenti għal min iħares ’il quddiem (jipprevedi) bl-għajnejn tal-fidi; għalhekk preżenti għal min jisgħar u jiddixxerni (ma jaħlix żmien). Għalih “il-wasla tal-għarus” (mewt għal din il-ħajja) mhux mument </w:t>
      </w:r>
      <w:r w:rsidRPr="000F04B4">
        <w:rPr>
          <w:rFonts w:asciiTheme="majorHAnsi" w:hAnsiTheme="majorHAnsi"/>
          <w:sz w:val="24"/>
          <w:szCs w:val="24"/>
        </w:rPr>
        <w:lastRenderedPageBreak/>
        <w:t>trawmatiku. (Għal San Franġisk t’Assisi, li laħaq grad perfett f’dan ir-rigward isejjaħ lill-mewt “oħtu”</w:t>
      </w:r>
      <w:r>
        <w:rPr>
          <w:rFonts w:asciiTheme="majorHAnsi" w:hAnsiTheme="majorHAnsi"/>
          <w:sz w:val="24"/>
          <w:szCs w:val="24"/>
        </w:rPr>
        <w:t>.</w:t>
      </w:r>
      <w:r w:rsidRPr="000F04B4">
        <w:rPr>
          <w:rFonts w:asciiTheme="majorHAnsi" w:hAnsiTheme="majorHAnsi"/>
          <w:sz w:val="24"/>
          <w:szCs w:val="24"/>
        </w:rPr>
        <w:t>)</w:t>
      </w:r>
    </w:p>
    <w:p w:rsidR="00FA434C" w:rsidRPr="00A37BEA" w:rsidRDefault="00FA434C" w:rsidP="00FA434C">
      <w:pPr>
        <w:spacing w:after="0" w:line="216" w:lineRule="auto"/>
        <w:jc w:val="both"/>
        <w:rPr>
          <w:rFonts w:asciiTheme="majorHAnsi" w:hAnsiTheme="majorHAnsi"/>
          <w:sz w:val="10"/>
          <w:szCs w:val="10"/>
        </w:rPr>
      </w:pPr>
    </w:p>
    <w:p w:rsidR="00FA434C" w:rsidRPr="00243B91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“ħadhom in-ngħas [jongħosu] u raqdu.” (</w:t>
      </w:r>
      <w:r>
        <w:rPr>
          <w:rFonts w:ascii="Palatino Linotype" w:hAnsi="Palatino Linotype"/>
          <w:color w:val="000000"/>
        </w:rPr>
        <w:t>ἐνύσταξαν...</w:t>
      </w:r>
      <w:r w:rsidRPr="00243B91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>καὶ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ἐκάθευδον.</w:t>
      </w:r>
      <w:r w:rsidRPr="00243B91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. Vanġelu dejjem f’allużjoni għall-</w:t>
      </w:r>
      <w:r>
        <w:rPr>
          <w:rFonts w:asciiTheme="majorHAnsi" w:hAnsiTheme="majorHAnsi"/>
          <w:i/>
          <w:sz w:val="24"/>
          <w:szCs w:val="24"/>
        </w:rPr>
        <w:t>parusia</w:t>
      </w:r>
      <w:r>
        <w:rPr>
          <w:rFonts w:asciiTheme="majorHAnsi" w:hAnsiTheme="majorHAnsi"/>
          <w:sz w:val="24"/>
          <w:szCs w:val="24"/>
        </w:rPr>
        <w:t xml:space="preserve"> (realtà tal-aħħar). Kemm l-għaqlin u kemm il-boloh jgħadu minn din l-istess realtà.</w:t>
      </w:r>
    </w:p>
    <w:p w:rsidR="00FA434C" w:rsidRPr="000F04B4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“Imbgħad f’nofs ta’ lejl instama’ min jgħajjat, ‘Ara l-għarus! Oħorġu ilqgħuh!’ Dawk ix-xebbiet qamu lkoll u ħejjew l-imsiebaħ tagħhom.” (vv. 6-7)</w:t>
      </w:r>
    </w:p>
    <w:p w:rsidR="00FA434C" w:rsidRPr="00243B91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Il-wasla hi waħda definittiva – meta kulħadd huwa rieqed. L-irqad (mewt) hija l-aħħar stadju li minnha l-bniedem maħluq jrid jgħaddi biex jiltaqa’ mal-ħallieq tiegħu (ara 1 Tess 4,17; 1 Kor 13,12s). Il-laqgħa mal-għarus (qawmien għall-ħajja) hija </w:t>
      </w:r>
      <w:r>
        <w:rPr>
          <w:rFonts w:asciiTheme="majorHAnsi" w:hAnsiTheme="majorHAnsi"/>
          <w:i/>
          <w:sz w:val="24"/>
          <w:szCs w:val="24"/>
        </w:rPr>
        <w:t>l-iskop</w:t>
      </w:r>
      <w:r>
        <w:rPr>
          <w:rFonts w:asciiTheme="majorHAnsi" w:hAnsiTheme="majorHAnsi"/>
          <w:sz w:val="24"/>
          <w:szCs w:val="24"/>
        </w:rPr>
        <w:t xml:space="preserve"> tal-ħajja. Għal min iżomm dan f’moħħu, għalih kollox jsir mezz u fid-dinja ma jorbot qalbu ma’ xejn – għotja totali – anzi, kull ma jagħmel jagħmlu b’dan </w:t>
      </w:r>
      <w:r w:rsidRPr="00243B91">
        <w:rPr>
          <w:rFonts w:asciiTheme="majorHAnsi" w:hAnsiTheme="majorHAnsi"/>
          <w:i/>
          <w:sz w:val="24"/>
          <w:szCs w:val="24"/>
        </w:rPr>
        <w:t>l-iskop</w:t>
      </w:r>
      <w:r>
        <w:rPr>
          <w:rFonts w:asciiTheme="majorHAnsi" w:hAnsiTheme="majorHAnsi"/>
          <w:sz w:val="24"/>
          <w:szCs w:val="24"/>
        </w:rPr>
        <w:t xml:space="preserve"> ċar f’moħħu.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“Iżda l-boloh qalu lill-għaqlin, ‘Agħtuna ftit żejt minn tagħkom għax l-imsiebaħ tagħna jintfew.’ Qabżu l-għaqlin u qalu, ‘Għandu mnejn ma jibqax biżżejjed, la għalina u lanqas għalikom! L-aħjar, morru għand tal-ħanut u ixtru għalikom.’” (vv. 8-9)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Hu f’dan il-mument li l-ħames boloh jibdew jaħsdu l-frott li żergħu; u jinfixlu. Iż-“żejt” ma jiġix akkwistat b’azzjoni waħda, jew f’ħakka t’għajn imma huwa l-frott tal-ħidma ta’ ħajja sħiħa; kull azzjoni tal-ħajja, waħda wara l-oħra, b’koerenza u konverġenza lejn </w:t>
      </w:r>
      <w:r>
        <w:rPr>
          <w:rFonts w:asciiTheme="majorHAnsi" w:hAnsiTheme="majorHAnsi"/>
          <w:i/>
          <w:sz w:val="24"/>
          <w:szCs w:val="24"/>
        </w:rPr>
        <w:t>skop wieħed</w:t>
      </w:r>
      <w:r>
        <w:rPr>
          <w:rFonts w:asciiTheme="majorHAnsi" w:hAnsiTheme="majorHAnsi"/>
          <w:sz w:val="24"/>
          <w:szCs w:val="24"/>
        </w:rPr>
        <w:t xml:space="preserve">. Din hija </w:t>
      </w:r>
      <w:r>
        <w:rPr>
          <w:rFonts w:asciiTheme="majorHAnsi" w:hAnsiTheme="majorHAnsi"/>
          <w:i/>
          <w:sz w:val="24"/>
          <w:szCs w:val="24"/>
        </w:rPr>
        <w:t>responsabiltà</w:t>
      </w:r>
      <w:r>
        <w:rPr>
          <w:rFonts w:asciiTheme="majorHAnsi" w:hAnsiTheme="majorHAnsi"/>
          <w:sz w:val="24"/>
          <w:szCs w:val="24"/>
        </w:rPr>
        <w:t xml:space="preserve"> li ma tistax tiġi delegata; ħadd ma jista’ jissupplixxi għaliha ħlief il-persuna nfisha.</w:t>
      </w:r>
    </w:p>
    <w:p w:rsidR="00FA434C" w:rsidRPr="00680089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Iż-żejt huwa l-impenn tal-bniedem li f’ħajtu jirrispondi b’imħabba u b’ġenerożità għall-imħabba perfetta mogħtija lilu minn Alla.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“X’ħin dawk marru biex jixtru jiġi l-għarus; dawk li kienu lesti daħlu miegħu għall-festa tat-tieġ, u l-bieb ingħalaq.” (v. 10)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“marru” (tbiegħdu) – Tul ħajjithom kollha huma m’għamlu xejn għajr tbiegħdu mill-għarus (</w:t>
      </w:r>
      <w:r>
        <w:rPr>
          <w:rFonts w:asciiTheme="majorHAnsi" w:hAnsiTheme="majorHAnsi"/>
          <w:i/>
          <w:sz w:val="24"/>
          <w:szCs w:val="24"/>
        </w:rPr>
        <w:t>fundamental option</w:t>
      </w:r>
      <w:r>
        <w:rPr>
          <w:rFonts w:asciiTheme="majorHAnsi" w:hAnsiTheme="majorHAnsi"/>
          <w:sz w:val="24"/>
          <w:szCs w:val="24"/>
        </w:rPr>
        <w:t xml:space="preserve">). Meta wasal l-għarus, flok ma qorbu lejh aktar </w:t>
      </w:r>
      <w:r>
        <w:rPr>
          <w:rFonts w:asciiTheme="majorHAnsi" w:hAnsiTheme="majorHAnsi"/>
          <w:i/>
          <w:sz w:val="24"/>
          <w:szCs w:val="24"/>
        </w:rPr>
        <w:t>tbiegħdu</w:t>
      </w:r>
      <w:r>
        <w:rPr>
          <w:rFonts w:asciiTheme="majorHAnsi" w:hAnsiTheme="majorHAnsi"/>
          <w:sz w:val="24"/>
          <w:szCs w:val="24"/>
        </w:rPr>
        <w:t xml:space="preserve"> minnu.</w:t>
      </w:r>
    </w:p>
    <w:p w:rsidR="00FA434C" w:rsidRPr="00680089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Jasal mument fejn dan l-atteġġjament kontinwu jidher biċ-ċar. Dak li jkun, jintebaħ li mhux ippreparat għal sitwazzjoni/deċiżjoni/laqgħa/avveniment importanti u deċiżiv. Iħares lura u jinduna li ż-żmien (</w:t>
      </w:r>
      <w:r>
        <w:rPr>
          <w:rFonts w:ascii="Palatino Linotype" w:hAnsi="Palatino Linotype"/>
          <w:color w:val="000000"/>
        </w:rPr>
        <w:t>καιρὸς</w:t>
      </w:r>
      <w:r w:rsidRPr="009D30F3">
        <w:rPr>
          <w:rFonts w:asciiTheme="majorHAnsi" w:hAnsiTheme="majorHAnsi"/>
          <w:sz w:val="24"/>
          <w:szCs w:val="24"/>
        </w:rPr>
        <w:t xml:space="preserve"> = mument ta’ grazzja) ħarab minn taħt idejh.</w:t>
      </w:r>
    </w:p>
    <w:p w:rsidR="00FA434C" w:rsidRPr="009D30F3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“Saflaħħar waslu wkoll ix-xebbiet l-oħra, u bdew jgħidu, ‘Mulej, Mulej, iftħilna!’ Iżda hu weġibhom u qal, ‘Tassew, ngħidilkom, lilkom ma nafkomx.’” (vv. 11-12)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Illum</w:t>
      </w:r>
      <w:r>
        <w:rPr>
          <w:rFonts w:asciiTheme="majorHAnsi" w:hAnsiTheme="majorHAnsi"/>
          <w:sz w:val="24"/>
          <w:szCs w:val="24"/>
        </w:rPr>
        <w:t xml:space="preserve"> huwa ż-żmien li għandi f’idejja. Għada mhux tiegħi. Għada rrid nirrispondi għal mod ta’ kif għext illum. Dan mhux pessimiżmu jew theddid imma biex inkunu </w:t>
      </w:r>
      <w:r>
        <w:rPr>
          <w:rFonts w:asciiTheme="majorHAnsi" w:hAnsiTheme="majorHAnsi"/>
          <w:i/>
          <w:sz w:val="24"/>
          <w:szCs w:val="24"/>
        </w:rPr>
        <w:t>responsabbli</w:t>
      </w:r>
      <w:r>
        <w:rPr>
          <w:rFonts w:asciiTheme="majorHAnsi" w:hAnsiTheme="majorHAnsi"/>
          <w:sz w:val="24"/>
          <w:szCs w:val="24"/>
        </w:rPr>
        <w:t xml:space="preserve"> tal-grazzji li l-Mulej </w:t>
      </w:r>
      <w:r>
        <w:rPr>
          <w:rFonts w:asciiTheme="majorHAnsi" w:hAnsiTheme="majorHAnsi"/>
          <w:i/>
          <w:sz w:val="24"/>
          <w:szCs w:val="24"/>
        </w:rPr>
        <w:t>illum</w:t>
      </w:r>
      <w:r>
        <w:rPr>
          <w:rFonts w:asciiTheme="majorHAnsi" w:hAnsiTheme="majorHAnsi"/>
          <w:sz w:val="24"/>
          <w:szCs w:val="24"/>
        </w:rPr>
        <w:t xml:space="preserve"> qed jagħtina.</w:t>
      </w:r>
    </w:p>
    <w:p w:rsidR="00FA434C" w:rsidRPr="009D30F3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“Mhux kull min jgħidli ‘Mulej Mulej!’ jidħol fis-saltna, imma kull min </w:t>
      </w:r>
      <w:r>
        <w:rPr>
          <w:rFonts w:asciiTheme="majorHAnsi" w:hAnsiTheme="majorHAnsi"/>
          <w:i/>
          <w:sz w:val="24"/>
          <w:szCs w:val="24"/>
        </w:rPr>
        <w:t>jagħmel</w:t>
      </w:r>
      <w:r>
        <w:rPr>
          <w:rFonts w:asciiTheme="majorHAnsi" w:hAnsiTheme="majorHAnsi"/>
          <w:sz w:val="24"/>
          <w:szCs w:val="24"/>
        </w:rPr>
        <w:t xml:space="preserve"> ir-rieda tal-Missier.” (7,21; ara ukoll Lq 13,25s, Lhud 3,13; 4,11)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“Ishru, mela, għaliex la tafu l-jum u lanqas is-siegħa.” (v. 13)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 nafux il-mument u lanqas is-siegħa (ara 24,36); kull mument tal-ħajja huwa possibiltà (mument ta’ grazzja) biex jinkiseb “iż-żejt”.</w:t>
      </w: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</w:p>
    <w:p w:rsidR="00FA434C" w:rsidRDefault="00FA434C" w:rsidP="00FA434C">
      <w:pPr>
        <w:spacing w:after="0" w:line="216" w:lineRule="auto"/>
        <w:jc w:val="both"/>
        <w:rPr>
          <w:rFonts w:asciiTheme="majorHAnsi" w:hAnsiTheme="majorHAnsi"/>
          <w:sz w:val="24"/>
          <w:szCs w:val="24"/>
        </w:rPr>
      </w:pPr>
    </w:p>
    <w:p w:rsidR="00FA434C" w:rsidRPr="00AC3599" w:rsidRDefault="00FA434C" w:rsidP="00FA434C">
      <w:pPr>
        <w:spacing w:after="0" w:line="21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“Quanto paurosa è la notte della vita, non squarciata dal bagliore di una lampada! È necessario avere con sé una riserva d’olio perché le nostre lampade risplendano. È necessario avere dentro di sé molto amore, per riscaldare le nostre notti fredde.” (R. Musil, </w:t>
      </w:r>
      <w:r>
        <w:rPr>
          <w:rFonts w:asciiTheme="majorHAnsi" w:hAnsiTheme="majorHAnsi"/>
          <w:i/>
          <w:sz w:val="20"/>
          <w:szCs w:val="20"/>
        </w:rPr>
        <w:t>L’uomo senza qualità</w:t>
      </w:r>
      <w:r>
        <w:rPr>
          <w:rFonts w:asciiTheme="majorHAnsi" w:hAnsiTheme="majorHAnsi"/>
          <w:sz w:val="20"/>
          <w:szCs w:val="20"/>
        </w:rPr>
        <w:t>)</w:t>
      </w:r>
    </w:p>
    <w:p w:rsidR="00FA434C" w:rsidRDefault="00FA434C">
      <w:bookmarkStart w:id="0" w:name="_GoBack"/>
      <w:bookmarkEnd w:id="0"/>
    </w:p>
    <w:sectPr w:rsidR="00FA434C" w:rsidSect="00A75A6D">
      <w:type w:val="nextColumn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4C"/>
    <w:rsid w:val="0007064A"/>
    <w:rsid w:val="00A75A6D"/>
    <w:rsid w:val="00E52DE9"/>
    <w:rsid w:val="00F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4C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4C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Hili</dc:creator>
  <cp:lastModifiedBy>Joseph Hili</cp:lastModifiedBy>
  <cp:revision>1</cp:revision>
  <dcterms:created xsi:type="dcterms:W3CDTF">2012-06-19T21:46:00Z</dcterms:created>
  <dcterms:modified xsi:type="dcterms:W3CDTF">2012-06-19T21:47:00Z</dcterms:modified>
</cp:coreProperties>
</file>