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E8B" w:rsidRPr="00EA1E8B" w:rsidRDefault="00EA1E8B" w:rsidP="00EA1E8B">
      <w:pPr>
        <w:jc w:val="center"/>
        <w:rPr>
          <w:rFonts w:ascii="Times New Roman" w:hAnsi="Times New Roman" w:cs="Times New Roman"/>
          <w:b/>
          <w:sz w:val="44"/>
          <w:szCs w:val="44"/>
          <w:lang w:val="mt-MT"/>
        </w:rPr>
      </w:pPr>
      <w:r w:rsidRPr="00EA1E8B">
        <w:rPr>
          <w:rFonts w:ascii="Times New Roman" w:hAnsi="Times New Roman" w:cs="Times New Roman"/>
          <w:b/>
          <w:sz w:val="44"/>
          <w:szCs w:val="44"/>
          <w:lang w:val="mt-MT"/>
        </w:rPr>
        <w:t>LECTIO DIVINA</w:t>
      </w:r>
    </w:p>
    <w:p w:rsidR="00EA1E8B" w:rsidRPr="00EA1E8B" w:rsidRDefault="00EA1E8B" w:rsidP="00EA1E8B">
      <w:pPr>
        <w:jc w:val="center"/>
        <w:rPr>
          <w:rFonts w:ascii="Times New Roman" w:hAnsi="Times New Roman" w:cs="Times New Roman"/>
          <w:i/>
          <w:sz w:val="44"/>
          <w:szCs w:val="44"/>
          <w:lang w:val="mt-MT"/>
        </w:rPr>
      </w:pPr>
    </w:p>
    <w:p w:rsidR="00EA1E8B" w:rsidRPr="00EA1E8B" w:rsidRDefault="003366F2" w:rsidP="00EA1E8B">
      <w:pPr>
        <w:jc w:val="center"/>
        <w:rPr>
          <w:rFonts w:ascii="Times New Roman" w:hAnsi="Times New Roman" w:cs="Times New Roman"/>
          <w:b/>
          <w:sz w:val="44"/>
          <w:szCs w:val="44"/>
          <w:lang w:val="mt-MT"/>
        </w:rPr>
      </w:pPr>
      <w:r>
        <w:rPr>
          <w:rFonts w:ascii="Times New Roman" w:hAnsi="Times New Roman" w:cs="Times New Roman"/>
          <w:b/>
          <w:sz w:val="44"/>
          <w:szCs w:val="44"/>
          <w:lang w:val="mt-MT"/>
        </w:rPr>
        <w:t>IS</w:t>
      </w:r>
      <w:r w:rsidR="00EA1E8B" w:rsidRPr="00EA1E8B">
        <w:rPr>
          <w:rFonts w:ascii="Times New Roman" w:hAnsi="Times New Roman" w:cs="Times New Roman"/>
          <w:b/>
          <w:sz w:val="44"/>
          <w:szCs w:val="44"/>
          <w:lang w:val="mt-MT"/>
        </w:rPr>
        <w:t>-XXVII ĦADD MA</w:t>
      </w:r>
      <w:bookmarkStart w:id="0" w:name="_GoBack"/>
      <w:bookmarkEnd w:id="0"/>
      <w:r w:rsidR="00EA1E8B" w:rsidRPr="00EA1E8B">
        <w:rPr>
          <w:rFonts w:ascii="Times New Roman" w:hAnsi="Times New Roman" w:cs="Times New Roman"/>
          <w:b/>
          <w:sz w:val="44"/>
          <w:szCs w:val="44"/>
          <w:lang w:val="mt-MT"/>
        </w:rPr>
        <w:t>TUL IS-SENA (A)</w:t>
      </w:r>
    </w:p>
    <w:p w:rsidR="00EA1E8B" w:rsidRPr="00EA1E8B" w:rsidRDefault="00EA1E8B" w:rsidP="00EA1E8B">
      <w:pPr>
        <w:jc w:val="center"/>
        <w:rPr>
          <w:rFonts w:ascii="Times New Roman" w:hAnsi="Times New Roman" w:cs="Times New Roman"/>
          <w:b/>
          <w:sz w:val="40"/>
          <w:lang w:val="mt-MT"/>
        </w:rPr>
      </w:pPr>
    </w:p>
    <w:p w:rsidR="00EA1E8B" w:rsidRPr="00EA1E8B" w:rsidRDefault="00EA1E8B" w:rsidP="00EA1E8B">
      <w:pPr>
        <w:jc w:val="center"/>
        <w:rPr>
          <w:rFonts w:ascii="Times New Roman" w:hAnsi="Times New Roman" w:cs="Times New Roman"/>
          <w:b/>
          <w:sz w:val="28"/>
          <w:szCs w:val="28"/>
          <w:lang w:val="mt-MT"/>
        </w:rPr>
      </w:pPr>
      <w:r w:rsidRPr="00EA1E8B">
        <w:rPr>
          <w:rFonts w:ascii="Times New Roman" w:hAnsi="Times New Roman" w:cs="Times New Roman"/>
          <w:b/>
          <w:sz w:val="28"/>
          <w:szCs w:val="28"/>
          <w:lang w:val="mt-MT"/>
        </w:rPr>
        <w:t>Mt 21, 33-43</w:t>
      </w:r>
    </w:p>
    <w:p w:rsidR="0090253F" w:rsidRPr="003366F2" w:rsidRDefault="0090253F">
      <w:pPr>
        <w:rPr>
          <w:rFonts w:ascii="Times New Roman" w:hAnsi="Times New Roman" w:cs="Times New Roman"/>
          <w:lang w:val="mt-MT"/>
        </w:rPr>
      </w:pPr>
    </w:p>
    <w:p w:rsidR="00EA1E8B" w:rsidRPr="003366F2" w:rsidRDefault="00EA1E8B">
      <w:pPr>
        <w:rPr>
          <w:rFonts w:ascii="Times New Roman" w:hAnsi="Times New Roman" w:cs="Times New Roman"/>
          <w:lang w:val="mt-MT"/>
        </w:rPr>
      </w:pPr>
    </w:p>
    <w:p w:rsidR="00EA1E8B" w:rsidRPr="003366F2" w:rsidRDefault="00EA1E8B">
      <w:pPr>
        <w:rPr>
          <w:rFonts w:ascii="Times New Roman" w:hAnsi="Times New Roman" w:cs="Times New Roman"/>
          <w:lang w:val="mt-MT"/>
        </w:rPr>
      </w:pP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b/>
          <w:lang w:val="mt-MT"/>
        </w:rPr>
      </w:pPr>
      <w:r w:rsidRPr="00EA1E8B">
        <w:rPr>
          <w:rFonts w:ascii="Times New Roman" w:hAnsi="Times New Roman" w:cs="Times New Roman"/>
          <w:b/>
          <w:lang w:val="mt-MT"/>
        </w:rPr>
        <w:t>F’dak iż-żmien Ġesù qal lill-qassisin il-kbar u lix-xjuħ tal-poplu: “Isimgħu parabbola oħra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lang w:val="mt-MT"/>
        </w:rPr>
      </w:pPr>
      <w:r w:rsidRPr="00EA1E8B">
        <w:rPr>
          <w:rFonts w:ascii="Times New Roman" w:hAnsi="Times New Roman" w:cs="Times New Roman"/>
          <w:lang w:val="mt-MT"/>
        </w:rPr>
        <w:t xml:space="preserve">Ġesù jinsab Ġerusalemm. Titqawwa t-tensjoni mal-awtoritajiet reliġjużi. Wara t-tkeċċija tal-bejjiiegħa mit-Tempju, il-qassisin il-kbar u x-xjuħ jistaqsu lil Ġesù b’liema setgħa qed jagħmel dan. Frott dan id-djalogu, Ġesù jirrakkontalhom tliet parabboli: it-tixbiha taż-żewġ ulied (21, 28-32), din il-parabbola tal-bdiewa qattiela (21, 33-45), u dik tal-ikla tat-tieġ (22, 1-14). Dawn it-tliet parabboli għandhom l-istess </w:t>
      </w:r>
      <w:r w:rsidRPr="00EA1E8B">
        <w:rPr>
          <w:rFonts w:ascii="Times New Roman" w:hAnsi="Times New Roman" w:cs="Times New Roman"/>
          <w:i/>
          <w:lang w:val="mt-MT"/>
        </w:rPr>
        <w:t>plot</w:t>
      </w:r>
      <w:r w:rsidRPr="00EA1E8B">
        <w:rPr>
          <w:rFonts w:ascii="Times New Roman" w:hAnsi="Times New Roman" w:cs="Times New Roman"/>
          <w:lang w:val="mt-MT"/>
        </w:rPr>
        <w:t>: xi ħadd li jkun l-ewwel, jabbuża mid-don li ġie mogħti lilu u għalhekk din il-grazzja titteħidlu.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sz w:val="10"/>
          <w:szCs w:val="16"/>
          <w:lang w:val="mt-MT"/>
        </w:rPr>
      </w:pP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lang w:val="mt-MT"/>
        </w:rPr>
      </w:pPr>
      <w:r w:rsidRPr="00EA1E8B">
        <w:rPr>
          <w:rFonts w:ascii="Times New Roman" w:hAnsi="Times New Roman" w:cs="Times New Roman"/>
          <w:lang w:val="mt-MT"/>
        </w:rPr>
        <w:t>F’dan il-kuntest, il-qassisin u l-kbar tal-poplu jidhru bħala dawk li ikkapparraw ir-reliġjon Ġudajka għall-interessi tagħhom. Waqqfu sistema li huma fiċ-ċentru tagħha u jirreaġixxu bl-ikrah hekk kif iħossu li l-awtorità tagħhom qed tiġi sfidata minn Ġesù. It-tentazzjoni li jinqdew b’Alla biex jagħlfu l-</w:t>
      </w:r>
      <w:r w:rsidRPr="00EA1E8B">
        <w:rPr>
          <w:rFonts w:ascii="Times New Roman" w:hAnsi="Times New Roman" w:cs="Times New Roman"/>
          <w:i/>
          <w:lang w:val="mt-MT"/>
        </w:rPr>
        <w:t xml:space="preserve">ego </w:t>
      </w:r>
      <w:r w:rsidRPr="00EA1E8B">
        <w:rPr>
          <w:rFonts w:ascii="Times New Roman" w:hAnsi="Times New Roman" w:cs="Times New Roman"/>
          <w:lang w:val="mt-MT"/>
        </w:rPr>
        <w:t>tagħhom. Naturalment, Mattew ma’ jirrakkuntax dan sempliċiment bħal fatt storiku, jew biex il-komunità sserraħ rasha li issa hi l-werrieta leġittima tas-Saltna. Pjuttost bil-kontra: l-evanġelista qed jagħmel eżortazzjoni kontra l-istess tentazzjonijiet fi ħdan il-Knisja.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sz w:val="10"/>
          <w:szCs w:val="16"/>
          <w:lang w:val="mt-MT"/>
        </w:rPr>
      </w:pP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b/>
          <w:lang w:val="mt-MT"/>
        </w:rPr>
      </w:pPr>
      <w:r w:rsidRPr="00EA1E8B">
        <w:rPr>
          <w:rFonts w:ascii="Times New Roman" w:hAnsi="Times New Roman" w:cs="Times New Roman"/>
          <w:b/>
          <w:lang w:val="mt-MT"/>
        </w:rPr>
        <w:t>Kien hemm wieħed, sid ta’ għalqa, u ħawwilha bid-dwieli; tellgħalha ħajt tas-sejjieħ madwarha, ħaffer magħsar fiha u bnielha torri;</w:t>
      </w:r>
    </w:p>
    <w:p w:rsidR="00EA1E8B" w:rsidRDefault="00EA1E8B" w:rsidP="00EA1E8B">
      <w:pPr>
        <w:spacing w:line="360" w:lineRule="auto"/>
        <w:rPr>
          <w:rFonts w:ascii="Times New Roman" w:hAnsi="Times New Roman" w:cs="Times New Roman"/>
          <w:lang w:val="mt-MT"/>
        </w:rPr>
      </w:pPr>
      <w:r w:rsidRPr="00EA1E8B">
        <w:rPr>
          <w:rFonts w:ascii="Times New Roman" w:hAnsi="Times New Roman" w:cs="Times New Roman"/>
          <w:lang w:val="mt-MT"/>
        </w:rPr>
        <w:t>Hawnhekk għandna riferenza xi ftit jew wisq ċara għat-tixbiha li jagħmel Isaija (</w:t>
      </w:r>
      <w:r w:rsidRPr="00EA1E8B">
        <w:rPr>
          <w:rFonts w:ascii="Times New Roman" w:hAnsi="Times New Roman" w:cs="Times New Roman"/>
          <w:i/>
          <w:lang w:val="mt-MT"/>
        </w:rPr>
        <w:t>Is</w:t>
      </w:r>
      <w:r w:rsidRPr="00EA1E8B">
        <w:rPr>
          <w:rFonts w:ascii="Times New Roman" w:hAnsi="Times New Roman" w:cs="Times New Roman"/>
          <w:lang w:val="mt-MT"/>
        </w:rPr>
        <w:t xml:space="preserve"> 5, 1-7) li fiha Iżrael huwa mxebbaħ ma’ dielja. Fiż-żewġ rakkonti toħroġ l-imħabba u d-dedikazzjoni tas-sid. Mhux biss iħawwel id-dwieli imma jipprovdilhom l-aħjar kuntest fejn jistgħu jikbru u fejn il-frott tagħhom jinġabar kollu. Din l-imħabba kreattiva tfakkar lill-poplu Lhudi fl-azzjoni ta’ Alla li biha ħalaq kollox: kontinwament jara li kollox hu sew u ma jiqafx qabel ma jara li kollox huwa sewwa ħafna (</w:t>
      </w:r>
      <w:r w:rsidRPr="00EA1E8B">
        <w:rPr>
          <w:rFonts w:ascii="Times New Roman" w:hAnsi="Times New Roman" w:cs="Times New Roman"/>
          <w:i/>
          <w:lang w:val="mt-MT"/>
        </w:rPr>
        <w:t xml:space="preserve">Ġen </w:t>
      </w:r>
      <w:r w:rsidRPr="00EA1E8B">
        <w:rPr>
          <w:rFonts w:ascii="Times New Roman" w:hAnsi="Times New Roman" w:cs="Times New Roman"/>
          <w:lang w:val="mt-MT"/>
        </w:rPr>
        <w:t>1, 31)</w:t>
      </w:r>
    </w:p>
    <w:p w:rsidR="00EA1E8B" w:rsidRDefault="00EA1E8B" w:rsidP="00EA1E8B">
      <w:pPr>
        <w:spacing w:line="360" w:lineRule="auto"/>
        <w:rPr>
          <w:rFonts w:ascii="Times New Roman" w:hAnsi="Times New Roman" w:cs="Times New Roman"/>
          <w:lang w:val="mt-MT"/>
        </w:rPr>
      </w:pP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lang w:val="mt-MT"/>
        </w:rPr>
      </w:pP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sz w:val="10"/>
          <w:szCs w:val="16"/>
          <w:lang w:val="mt-MT"/>
        </w:rPr>
      </w:pP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b/>
          <w:lang w:val="mt-MT"/>
        </w:rPr>
      </w:pPr>
      <w:r w:rsidRPr="00EA1E8B">
        <w:rPr>
          <w:rFonts w:ascii="Times New Roman" w:hAnsi="Times New Roman" w:cs="Times New Roman"/>
          <w:b/>
          <w:lang w:val="mt-MT"/>
        </w:rPr>
        <w:lastRenderedPageBreak/>
        <w:t>u qabbilha lil xi bdiewa. U siefer f’art oħra.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lang w:val="mt-MT"/>
        </w:rPr>
      </w:pPr>
      <w:r w:rsidRPr="00EA1E8B">
        <w:rPr>
          <w:rFonts w:ascii="Times New Roman" w:hAnsi="Times New Roman" w:cs="Times New Roman"/>
          <w:lang w:val="mt-MT"/>
        </w:rPr>
        <w:t xml:space="preserve">Madanakollu fir-rakkont ta’ Ġesù hemm xi differenzi importanti minn Isaija. It-tema m’għadhiex iktar ir-relazzjoni diretta tas-sid mad-dielja, imma mal-bdiewa li ġew inkarigati li jieħdu ħsiebha. Barra minn hekk, is-sid se jsiefer, element preżenti f’parabboli oħra (eż., </w:t>
      </w:r>
      <w:r w:rsidRPr="00EA1E8B">
        <w:rPr>
          <w:rFonts w:ascii="Times New Roman" w:hAnsi="Times New Roman" w:cs="Times New Roman"/>
          <w:i/>
          <w:lang w:val="mt-MT"/>
        </w:rPr>
        <w:t xml:space="preserve">Mt </w:t>
      </w:r>
      <w:r w:rsidRPr="00EA1E8B">
        <w:rPr>
          <w:rFonts w:ascii="Times New Roman" w:hAnsi="Times New Roman" w:cs="Times New Roman"/>
          <w:lang w:val="mt-MT"/>
        </w:rPr>
        <w:t xml:space="preserve">25,1-13; 14-30; </w:t>
      </w:r>
      <w:r w:rsidRPr="00EA1E8B">
        <w:rPr>
          <w:rFonts w:ascii="Times New Roman" w:hAnsi="Times New Roman" w:cs="Times New Roman"/>
          <w:i/>
          <w:lang w:val="mt-MT"/>
        </w:rPr>
        <w:t>Lq</w:t>
      </w:r>
      <w:r w:rsidRPr="00EA1E8B">
        <w:rPr>
          <w:rFonts w:ascii="Times New Roman" w:hAnsi="Times New Roman" w:cs="Times New Roman"/>
          <w:lang w:val="mt-MT"/>
        </w:rPr>
        <w:t xml:space="preserve"> 12,35-48) u allura mhix se tkun iktar taħt il-kontrol dirett tiegħu. Minkejja li s-sid jiddedika ħafna enerġija fl-għalqa tad-dwieli, ma jorbothiex miegħu biss imma jagħraf jafdaha f’idejn ħaddieħor. Huwa dak li ġara fil-ħolqien (cfr. </w:t>
      </w:r>
      <w:r w:rsidRPr="00EA1E8B">
        <w:rPr>
          <w:rFonts w:ascii="Times New Roman" w:hAnsi="Times New Roman" w:cs="Times New Roman"/>
          <w:i/>
          <w:lang w:val="mt-MT"/>
        </w:rPr>
        <w:t xml:space="preserve">Ġen </w:t>
      </w:r>
      <w:r w:rsidRPr="00EA1E8B">
        <w:rPr>
          <w:rFonts w:ascii="Times New Roman" w:hAnsi="Times New Roman" w:cs="Times New Roman"/>
          <w:lang w:val="mt-MT"/>
        </w:rPr>
        <w:t>1,28-30) meta Alla jafda l-ħolqien f’idejn il-bniedem, u dak li se jiġri wara l-qawmien (</w:t>
      </w:r>
      <w:r w:rsidRPr="00EA1E8B">
        <w:rPr>
          <w:rFonts w:ascii="Times New Roman" w:hAnsi="Times New Roman" w:cs="Times New Roman"/>
          <w:i/>
          <w:lang w:val="mt-MT"/>
        </w:rPr>
        <w:t xml:space="preserve">Mt </w:t>
      </w:r>
      <w:r w:rsidRPr="00EA1E8B">
        <w:rPr>
          <w:rFonts w:ascii="Times New Roman" w:hAnsi="Times New Roman" w:cs="Times New Roman"/>
          <w:lang w:val="mt-MT"/>
        </w:rPr>
        <w:t>28,18-20). Il-bidwi huwa msejjaħ biex jirrifletti dwar id-dinjità kbira li ngħatatlu: mhux biss li jkollu xogħol – imma li jkollu sehem dirett fl-inizjattiva ta’ sid hekk qalbu kbira, u fl-istess ħin jagħmel hekk hu wkoll.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sz w:val="10"/>
          <w:szCs w:val="16"/>
          <w:lang w:val="mt-MT"/>
        </w:rPr>
      </w:pP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b/>
          <w:lang w:val="mt-MT"/>
        </w:rPr>
      </w:pPr>
      <w:r w:rsidRPr="00EA1E8B">
        <w:rPr>
          <w:rFonts w:ascii="Times New Roman" w:hAnsi="Times New Roman" w:cs="Times New Roman"/>
          <w:b/>
          <w:lang w:val="mt-MT"/>
        </w:rPr>
        <w:t>Meta wasal żmien il-frott, bagħat il-qaddejja tiegħu għand dawk il-bdiewa biex jiġbrulu l-frott li kien imissu.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lang w:val="mt-MT"/>
        </w:rPr>
      </w:pPr>
      <w:r w:rsidRPr="00EA1E8B">
        <w:rPr>
          <w:rFonts w:ascii="Times New Roman" w:hAnsi="Times New Roman" w:cs="Times New Roman"/>
          <w:lang w:val="mt-MT"/>
        </w:rPr>
        <w:t xml:space="preserve">Żmien il-frott huwa ippreżentat bħala </w:t>
      </w:r>
      <w:r w:rsidRPr="00EA1E8B">
        <w:rPr>
          <w:rFonts w:ascii="Times New Roman" w:hAnsi="Times New Roman" w:cs="Times New Roman"/>
          <w:i/>
          <w:lang w:val="mt-MT"/>
        </w:rPr>
        <w:t>kairos</w:t>
      </w:r>
      <w:r w:rsidRPr="00EA1E8B">
        <w:rPr>
          <w:rFonts w:ascii="Times New Roman" w:hAnsi="Times New Roman" w:cs="Times New Roman"/>
          <w:lang w:val="mt-MT"/>
        </w:rPr>
        <w:t xml:space="preserve"> – iż-żmien mill-ottika ta’ Alla. Il-frott ma jiġix mill-proċess naturali u l-ħidma tal-bdiewa imma qabel kollox huwa grazzja minn Alla. Il-fatt li s-sid jibgħat il-qaddejja jiġbrulu l-frott m’għandux ikun ta’ theddida għall-ħaddiema imma huwa grazzja anki għalihom. L-ewwelnett is-sid ma jitlobx kollox imma biss “il-frott li kien imissu”. Il-ġenerożità tas-sid tidher b’mod partikulari f’dak li se jibqa’ għall-bdiewa: “Din hi l-glorja ta’ missieri, li intom tagħmlu ħafna frott” (</w:t>
      </w:r>
      <w:r w:rsidRPr="00EA1E8B">
        <w:rPr>
          <w:rFonts w:ascii="Times New Roman" w:hAnsi="Times New Roman" w:cs="Times New Roman"/>
          <w:i/>
          <w:lang w:val="mt-MT"/>
        </w:rPr>
        <w:t>Ġw</w:t>
      </w:r>
      <w:r w:rsidRPr="00EA1E8B">
        <w:rPr>
          <w:rFonts w:ascii="Times New Roman" w:hAnsi="Times New Roman" w:cs="Times New Roman"/>
          <w:lang w:val="mt-MT"/>
        </w:rPr>
        <w:t xml:space="preserve"> 15,8). Il-bidwi huwa msejjaħ jagħraf il-frott li għandu u li ngħatalu. It-tieni, li s-sid jitlob sehmu, rendikont, tgħin lill-bidwi biex ma jabbużax, ma jaħtafx dak li hu ta’ ħaddieħor, u jieqaf lit-tentazzjoni kontinwa li jaħseb li s-sid huwa hu.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sz w:val="10"/>
          <w:szCs w:val="16"/>
          <w:lang w:val="mt-MT"/>
        </w:rPr>
      </w:pP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b/>
          <w:lang w:val="mt-MT"/>
        </w:rPr>
      </w:pPr>
      <w:r w:rsidRPr="00EA1E8B">
        <w:rPr>
          <w:rFonts w:ascii="Times New Roman" w:hAnsi="Times New Roman" w:cs="Times New Roman"/>
          <w:b/>
          <w:lang w:val="mt-MT"/>
        </w:rPr>
        <w:t>Iżda l-bdiewa qabdu lill-qaddejja, u lil wieħed sawtuh, lil ieħor qatluh, u lil ieħor ħaġġruh. Reġa’ bagħtilhom qaddejja oħra, aktar minn qabel, u għamlulhom l-istess.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lang w:val="mt-MT"/>
        </w:rPr>
      </w:pPr>
      <w:r w:rsidRPr="00EA1E8B">
        <w:rPr>
          <w:rFonts w:ascii="Times New Roman" w:hAnsi="Times New Roman" w:cs="Times New Roman"/>
          <w:lang w:val="mt-MT"/>
        </w:rPr>
        <w:t xml:space="preserve">Jibdew sensiela ta’ atti irrazzjonali min-naħa tal-bdiewa. Huwa partikularment qawwi l-fatt donnhom mhux biss iridu jisirqu lis-sid iżda fuq kollox jisfidawh u jweġġgħuh b’atti gravi (li tmidd idejk fuq ambaxxatur hija ikkunsidrata bħala waħda mill-agħar skorrettezzi) li jiġru iktar minn darba. Id-dinamika tal-pussess, u l-illużjonijiet faċli li jiġu mill-poter joħorġu għad-dawl fid-determinazzjoni li ma jħallu lil ħadd iktar jintervjeni u jirreġixxu bl-ikrah kontra min sempliċiment ifakkarhom li hemmhekk mhux tagħhom. 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sz w:val="10"/>
          <w:szCs w:val="16"/>
          <w:lang w:val="mt-MT"/>
        </w:rPr>
      </w:pP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b/>
          <w:lang w:val="mt-MT"/>
        </w:rPr>
      </w:pPr>
      <w:r w:rsidRPr="00EA1E8B">
        <w:rPr>
          <w:rFonts w:ascii="Times New Roman" w:hAnsi="Times New Roman" w:cs="Times New Roman"/>
          <w:b/>
          <w:lang w:val="mt-MT"/>
        </w:rPr>
        <w:t>Fl-aħħar bagħtilhom lil ibnu. “Minn ibni jistħu,” qal.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lang w:val="mt-MT"/>
        </w:rPr>
      </w:pPr>
      <w:r w:rsidRPr="00EA1E8B">
        <w:rPr>
          <w:rFonts w:ascii="Times New Roman" w:hAnsi="Times New Roman" w:cs="Times New Roman"/>
          <w:lang w:val="mt-MT"/>
        </w:rPr>
        <w:t xml:space="preserve">Minn hawn il-parabbola tibda toqrob dejjem iktar għas-sitwazzjoni li kienu qed jgħixu Ġesù u l-avversarji tiegħu. Ir-raġunament tas-sid huwa rappreżentazzjoni mill-isbaħ tal-Inkarnazzjoni. </w:t>
      </w:r>
      <w:r w:rsidRPr="00EA1E8B">
        <w:rPr>
          <w:rFonts w:ascii="Times New Roman" w:hAnsi="Times New Roman" w:cs="Times New Roman"/>
          <w:lang w:val="mt-MT"/>
        </w:rPr>
        <w:lastRenderedPageBreak/>
        <w:t xml:space="preserve">Jaffronta l-arroganza tal-bdiewa billi jibgħat lil ibnu stess, biex jekk joqogħdu għalih hu jkun lest jinsa l-offiżi gravi li għamlu qabel u l-ħaġa tieqaf hemm. (cfr., </w:t>
      </w:r>
      <w:r w:rsidRPr="00EA1E8B">
        <w:rPr>
          <w:rFonts w:ascii="Times New Roman" w:hAnsi="Times New Roman" w:cs="Times New Roman"/>
          <w:i/>
          <w:lang w:val="mt-MT"/>
        </w:rPr>
        <w:t xml:space="preserve">Ġw </w:t>
      </w:r>
      <w:r w:rsidRPr="00EA1E8B">
        <w:rPr>
          <w:rFonts w:ascii="Times New Roman" w:hAnsi="Times New Roman" w:cs="Times New Roman"/>
          <w:lang w:val="mt-MT"/>
        </w:rPr>
        <w:t>3,17) Biex jagħti ċans ieħor lill-bdiewa li diġa wrew ruħhom ingrati u qattiela, lest iqiegħed fil-periklu lil ibnu stess u jibgħatu f’sitwazzjoni ta’ riskju kbir.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sz w:val="10"/>
          <w:lang w:val="mt-MT"/>
        </w:rPr>
      </w:pPr>
      <w:r w:rsidRPr="00EA1E8B">
        <w:rPr>
          <w:rFonts w:ascii="Times New Roman" w:hAnsi="Times New Roman" w:cs="Times New Roman"/>
          <w:sz w:val="10"/>
          <w:lang w:val="mt-MT"/>
        </w:rPr>
        <w:t xml:space="preserve"> 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b/>
          <w:lang w:val="mt-MT"/>
        </w:rPr>
      </w:pPr>
      <w:r w:rsidRPr="00EA1E8B">
        <w:rPr>
          <w:rFonts w:ascii="Times New Roman" w:hAnsi="Times New Roman" w:cs="Times New Roman"/>
          <w:b/>
          <w:lang w:val="mt-MT"/>
        </w:rPr>
        <w:t>Iżda kif raw lil ibnu l-bdiewa bdew jgħidu bejniethom: “Ara l-werriet! Ejjew noqtluh, biex il-wirt tiegħu niħduh aħna”. Qabduh, xeħtuh ’il barra mill-għalqa u qatluh.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lang w:val="mt-MT"/>
        </w:rPr>
      </w:pPr>
      <w:r w:rsidRPr="00EA1E8B">
        <w:rPr>
          <w:rFonts w:ascii="Times New Roman" w:hAnsi="Times New Roman" w:cs="Times New Roman"/>
          <w:lang w:val="mt-MT"/>
        </w:rPr>
        <w:t>Ikomplu jikbru l-allużjonijiet għall-mewt ta’ Ġesù. Imma għandna għal darb’oħra referenza għall-ħsibijiet bla raġuni tal-bdiewa li – anki jekk jafu li s-sid għadu ħaj – jikkonkludu li xħin joqtlu lil ibnu l-wirt tiegħu se jeħduh huma. L-għama tal-poter u s-sodisfazzjon tal-istint tad-dominazzjoni u l-vjolenza jaħkmu kull ħsieb u kull għemil tagħhom.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sz w:val="10"/>
          <w:lang w:val="mt-MT"/>
        </w:rPr>
      </w:pP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b/>
          <w:lang w:val="mt-MT"/>
        </w:rPr>
      </w:pPr>
      <w:r w:rsidRPr="00EA1E8B">
        <w:rPr>
          <w:rFonts w:ascii="Times New Roman" w:hAnsi="Times New Roman" w:cs="Times New Roman"/>
          <w:b/>
          <w:lang w:val="mt-MT"/>
        </w:rPr>
        <w:t>Issa sid l-għalqa x’jagħmlilhom lil dawk il-bdiewa meta jiġi?” Qalulu: “Jeqridhom bla ħniena, ta’ ħżiena li huma, u l-għalqa jqabbilha lil bdiewa oħra li jroddulu l-frott fi żmienu.”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lang w:val="mt-MT"/>
        </w:rPr>
      </w:pPr>
      <w:r w:rsidRPr="00EA1E8B">
        <w:rPr>
          <w:rFonts w:ascii="Times New Roman" w:hAnsi="Times New Roman" w:cs="Times New Roman"/>
          <w:lang w:val="mt-MT"/>
        </w:rPr>
        <w:t xml:space="preserve">F’daqqa waħda ninnutaw li r-rakkont jieqaf hawn u m’għandniex iktar informazzjoni dwar x’għamel is-sid, imma biss immaġinazzjoni ta’ x’jistgħu ikunu l-konsegwenzi fil-futur (traduzzjoni aħjar tal-verb tista’ tkun “x’se jagħmlilhom”). Donnu li l-ġudizzju tas-sid qiegħed </w:t>
      </w:r>
      <w:r w:rsidRPr="00EA1E8B">
        <w:rPr>
          <w:rFonts w:ascii="Times New Roman" w:hAnsi="Times New Roman" w:cs="Times New Roman"/>
          <w:i/>
          <w:lang w:val="mt-MT"/>
        </w:rPr>
        <w:t>on hold</w:t>
      </w:r>
      <w:r w:rsidRPr="00EA1E8B">
        <w:rPr>
          <w:rFonts w:ascii="Times New Roman" w:hAnsi="Times New Roman" w:cs="Times New Roman"/>
          <w:lang w:val="mt-MT"/>
        </w:rPr>
        <w:t xml:space="preserve"> u għadu se jiġi implementat “meta jiġi”. Insibu l-użu tal-ironija narrativa fit-tweġiba tal-qassisin il-kbar u x-xjuħ: mill-mod kif jwieġbu għall-mistoqsija mingħalihom li qed jitkellmu dwar ħaddieħor, imma ftit wara joħroġ ċar li m’hu qed jiġġudikaw lil ħadd għajr lilhom infushom. Dan jiġri drabi oħra (eż., </w:t>
      </w:r>
      <w:r w:rsidRPr="00EA1E8B">
        <w:rPr>
          <w:rFonts w:ascii="Times New Roman" w:hAnsi="Times New Roman" w:cs="Times New Roman"/>
          <w:i/>
          <w:lang w:val="mt-MT"/>
        </w:rPr>
        <w:t>2 Sam</w:t>
      </w:r>
      <w:r w:rsidRPr="00EA1E8B">
        <w:rPr>
          <w:rFonts w:ascii="Times New Roman" w:hAnsi="Times New Roman" w:cs="Times New Roman"/>
          <w:lang w:val="mt-MT"/>
        </w:rPr>
        <w:t xml:space="preserve"> 12, 1-7, </w:t>
      </w:r>
      <w:r w:rsidRPr="00EA1E8B">
        <w:rPr>
          <w:rFonts w:ascii="Times New Roman" w:hAnsi="Times New Roman" w:cs="Times New Roman"/>
          <w:i/>
          <w:lang w:val="mt-MT"/>
        </w:rPr>
        <w:t>Mt</w:t>
      </w:r>
      <w:r w:rsidRPr="00EA1E8B">
        <w:rPr>
          <w:rFonts w:ascii="Times New Roman" w:hAnsi="Times New Roman" w:cs="Times New Roman"/>
          <w:lang w:val="mt-MT"/>
        </w:rPr>
        <w:t xml:space="preserve"> 23, 29-32) fejn min jikkundanna bla ħniena lill-ieħor jsib li dak il-ħażen jinsab ġewwa fih. Il-faċilità fil-ġudizzju u fil-kundanni hija propju xhieda oħra tal-taħsir morali u spiritwali ta’ dawn in-nies.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sz w:val="10"/>
          <w:szCs w:val="16"/>
          <w:lang w:val="mt-MT"/>
        </w:rPr>
      </w:pP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lang w:val="mt-MT"/>
        </w:rPr>
      </w:pPr>
      <w:r w:rsidRPr="00EA1E8B">
        <w:rPr>
          <w:rFonts w:ascii="Times New Roman" w:hAnsi="Times New Roman" w:cs="Times New Roman"/>
          <w:b/>
          <w:lang w:val="mt-MT"/>
        </w:rPr>
        <w:t>Qalilhom Ġesù: “Qatt ma qrajtu fl-Iskritura li: ‘Il-ġebla li warrbu l-bennejja saret il-ġebla tax-xewka; bis-saħħa tal-Mulej seħħ dan: ħaġa tal-għaġeb f’għajnejna?”</w:t>
      </w:r>
      <w:r w:rsidRPr="00EA1E8B">
        <w:rPr>
          <w:rFonts w:ascii="Times New Roman" w:hAnsi="Times New Roman" w:cs="Times New Roman"/>
          <w:lang w:val="mt-MT"/>
        </w:rPr>
        <w:t xml:space="preserve"> 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lang w:val="mt-MT"/>
        </w:rPr>
      </w:pPr>
      <w:r w:rsidRPr="00EA1E8B">
        <w:rPr>
          <w:rFonts w:ascii="Times New Roman" w:hAnsi="Times New Roman" w:cs="Times New Roman"/>
          <w:lang w:val="mt-MT"/>
        </w:rPr>
        <w:t xml:space="preserve">Kwotazzjoni diretta minn </w:t>
      </w:r>
      <w:r w:rsidRPr="00EA1E8B">
        <w:rPr>
          <w:rFonts w:ascii="Times New Roman" w:hAnsi="Times New Roman" w:cs="Times New Roman"/>
          <w:i/>
          <w:lang w:val="mt-MT"/>
        </w:rPr>
        <w:t xml:space="preserve">Salm </w:t>
      </w:r>
      <w:r w:rsidRPr="00EA1E8B">
        <w:rPr>
          <w:rFonts w:ascii="Times New Roman" w:hAnsi="Times New Roman" w:cs="Times New Roman"/>
          <w:lang w:val="mt-MT"/>
        </w:rPr>
        <w:t xml:space="preserve">118, 22-23, silta fundamentali għall-Knisja tal-bidu biex tinterpreta t-tbatija u l-mewt ta’ Ġesù (hemm riferenza għaliha 5 darbiet fil-ĠT). Ix-xbieha tal-ġebla torbot ma’ interpretazzjoni preżenti fi żmien Ġesù: fit-traduzzjoni bl-aramajk tas-salmi l-kelma ebrajka </w:t>
      </w:r>
      <w:r w:rsidRPr="00EA1E8B">
        <w:rPr>
          <w:rFonts w:ascii="Times New Roman" w:hAnsi="Times New Roman" w:cs="Times New Roman"/>
          <w:i/>
          <w:lang w:val="mt-MT"/>
        </w:rPr>
        <w:t>’eben</w:t>
      </w:r>
      <w:r w:rsidRPr="00EA1E8B">
        <w:rPr>
          <w:rFonts w:ascii="Times New Roman" w:hAnsi="Times New Roman" w:cs="Times New Roman"/>
          <w:lang w:val="mt-MT"/>
        </w:rPr>
        <w:t xml:space="preserve"> (ġebla) tiġi mibdul fil-kelma aramajka </w:t>
      </w:r>
      <w:r w:rsidRPr="00EA1E8B">
        <w:rPr>
          <w:rFonts w:ascii="Times New Roman" w:hAnsi="Times New Roman" w:cs="Times New Roman"/>
          <w:i/>
          <w:lang w:val="mt-MT"/>
        </w:rPr>
        <w:t>ben</w:t>
      </w:r>
      <w:r w:rsidRPr="00EA1E8B">
        <w:rPr>
          <w:rFonts w:ascii="Times New Roman" w:hAnsi="Times New Roman" w:cs="Times New Roman"/>
          <w:lang w:val="mt-MT"/>
        </w:rPr>
        <w:t xml:space="preserve"> (iben) u l-frażi ssir “l-iben imwarrab”. Ir-riferiment huwa għall-istorja ta’ David, imma dan hu kuntest li Ġesù japplika għalih innifsu. L-esperjenza tal-“iben imwarrab”, b’mod partikulari r-relazzjoni awtentika ma’ Alla waqt il-mument tat-tbatija (“bis-saħħa tal-Mulej seħħ dan”), hija l-antiteżi tar-reliġjożità awto-referenzjali tal-kapijiet reliġjużi tal-poplu Lhudi. 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sz w:val="10"/>
          <w:szCs w:val="10"/>
          <w:lang w:val="mt-MT"/>
        </w:rPr>
      </w:pP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b/>
          <w:lang w:val="mt-MT"/>
        </w:rPr>
      </w:pPr>
      <w:r w:rsidRPr="00EA1E8B">
        <w:rPr>
          <w:rFonts w:ascii="Times New Roman" w:hAnsi="Times New Roman" w:cs="Times New Roman"/>
          <w:b/>
          <w:lang w:val="mt-MT"/>
        </w:rPr>
        <w:lastRenderedPageBreak/>
        <w:t>Għalhekk ngħidilkom li s-Saltna ta’ Alla tittieħed mingħandkom u tingħata lil ġens li jagħmel frott minnha”.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lang w:val="mt-MT"/>
        </w:rPr>
      </w:pPr>
      <w:r w:rsidRPr="00EA1E8B">
        <w:rPr>
          <w:rFonts w:ascii="Times New Roman" w:hAnsi="Times New Roman" w:cs="Times New Roman"/>
          <w:lang w:val="mt-MT"/>
        </w:rPr>
        <w:t>“</w:t>
      </w:r>
      <w:r w:rsidRPr="00EA1E8B">
        <w:rPr>
          <w:rFonts w:ascii="Times New Roman" w:hAnsi="Times New Roman" w:cs="Times New Roman"/>
          <w:i/>
          <w:lang w:val="mt-MT"/>
        </w:rPr>
        <w:t>This conclusion is milder than the parable; the wicked tentants are not destroyed, but the promise is taken from them”</w:t>
      </w:r>
      <w:r w:rsidRPr="00EA1E8B">
        <w:rPr>
          <w:rFonts w:ascii="Times New Roman" w:hAnsi="Times New Roman" w:cs="Times New Roman"/>
          <w:lang w:val="mt-MT"/>
        </w:rPr>
        <w:t>. (</w:t>
      </w:r>
      <w:r w:rsidRPr="00EA1E8B">
        <w:rPr>
          <w:rFonts w:ascii="Times New Roman" w:hAnsi="Times New Roman" w:cs="Times New Roman"/>
          <w:i/>
          <w:lang w:val="mt-MT"/>
        </w:rPr>
        <w:t>NJBC</w:t>
      </w:r>
      <w:r w:rsidRPr="00EA1E8B">
        <w:rPr>
          <w:rFonts w:ascii="Times New Roman" w:hAnsi="Times New Roman" w:cs="Times New Roman"/>
          <w:lang w:val="mt-MT"/>
        </w:rPr>
        <w:t>, 665). L-għalqa tittieħed mingħand il-bdiewa imma Ġesù ma jitkellimx mill-vendetta, bħalma kienu issupponew il-qassisin u x-xjuħ. Is-Saltna nfetħet għal ħaddieħor, imma huma għadhom biċ-ċans li jindmu u jilqgħuha mill-ġdid.</w:t>
      </w:r>
    </w:p>
    <w:p w:rsidR="00EA1E8B" w:rsidRPr="00EA1E8B" w:rsidRDefault="00EA1E8B" w:rsidP="00EA1E8B">
      <w:pPr>
        <w:spacing w:line="360" w:lineRule="auto"/>
        <w:rPr>
          <w:rFonts w:ascii="Times New Roman" w:hAnsi="Times New Roman" w:cs="Times New Roman"/>
          <w:lang w:val="mt-MT"/>
        </w:rPr>
      </w:pPr>
    </w:p>
    <w:sectPr w:rsidR="00EA1E8B" w:rsidRPr="00EA1E8B" w:rsidSect="00EA1E8B">
      <w:foot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7B" w:rsidRDefault="006B2E7B" w:rsidP="00EA1E8B">
      <w:r>
        <w:separator/>
      </w:r>
    </w:p>
  </w:endnote>
  <w:endnote w:type="continuationSeparator" w:id="0">
    <w:p w:rsidR="006B2E7B" w:rsidRDefault="006B2E7B" w:rsidP="00EA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469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1E8B" w:rsidRDefault="00EA1E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6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1E8B" w:rsidRDefault="00EA1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7B" w:rsidRDefault="006B2E7B" w:rsidP="00EA1E8B">
      <w:r>
        <w:separator/>
      </w:r>
    </w:p>
  </w:footnote>
  <w:footnote w:type="continuationSeparator" w:id="0">
    <w:p w:rsidR="006B2E7B" w:rsidRDefault="006B2E7B" w:rsidP="00EA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8B"/>
    <w:rsid w:val="003366F2"/>
    <w:rsid w:val="006B2E7B"/>
    <w:rsid w:val="0090253F"/>
    <w:rsid w:val="00A7651C"/>
    <w:rsid w:val="00EA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1AE3E-1410-4B7C-B673-207A458E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E8B"/>
    <w:pPr>
      <w:spacing w:after="0" w:line="240" w:lineRule="auto"/>
      <w:jc w:val="both"/>
    </w:pPr>
    <w:rPr>
      <w:rFonts w:ascii="Garamond" w:hAnsi="Garamond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E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E8B"/>
    <w:rPr>
      <w:rFonts w:ascii="Garamond" w:hAnsi="Garamond"/>
      <w:sz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A1E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E8B"/>
    <w:rPr>
      <w:rFonts w:ascii="Garamond" w:hAnsi="Garamond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Vella</dc:creator>
  <cp:keywords/>
  <dc:description/>
  <cp:lastModifiedBy>Gabriel Vella</cp:lastModifiedBy>
  <cp:revision>2</cp:revision>
  <dcterms:created xsi:type="dcterms:W3CDTF">2017-11-13T14:12:00Z</dcterms:created>
  <dcterms:modified xsi:type="dcterms:W3CDTF">2017-11-13T14:20:00Z</dcterms:modified>
</cp:coreProperties>
</file>